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15</w:t>
      </w:r>
    </w:p>
    <w:p>
      <w:pPr>
        <w:spacing w:after="120"/>
      </w:pPr>
      <w:r>
        <w:rPr>
          <w:rFonts w:ascii="Cambria" w:cs="Cambria" w:eastAsia="Cambria" w:hAnsi="Cambria"/>
          <w:b/>
          <w:bCs/>
          <w:color w:val="0E1A1C"/>
          <w:sz w:val="56"/>
          <w:szCs w:val="56"/>
        </w:rPr>
        <w:t xml:space="preserve">Datakwaliteitsmanagement als proces</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9 uur (5 uur klassikaal, 4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CDMP-specialist Data Quality</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Meridiaan heeft één kwaliteitsrapportage: acht regels op vier velden, eenmalig gemaakt in het eerste kwartaal van 2026. Er zijn geen drempelwaarden, geen eigenaren per regel, en er is geen vervolg. Dat is het patroon dat je in vrijwel elke organisatie aantreft: kwaliteit als project, niet als proces.</w:t>
      </w:r>
    </w:p>
    <w:p>
      <w:pPr>
        <w:spacing w:after="140" w:line="288"/>
      </w:pPr>
      <w:r>
        <w:rPr>
          <w:rFonts w:ascii="Calibri" w:cs="Calibri" w:eastAsia="Calibri" w:hAnsi="Calibri"/>
          <w:color w:val="0E1A1C"/>
          <w:sz w:val="21"/>
          <w:szCs w:val="21"/>
        </w:rPr>
        <w:t xml:space="preserve">In deel 4 leerde je een bevinding onderbouwen. Hier maak je er een lopend proces van dat blijft draaien nadat jij weg bent. Dat vraagt drie dingen die in een project ontbreken: regels die zichzelf uitvoeren, een remediatiepad met eigenaarschap, en afspraken tussen leverancier en afnemer over wat er wordt geleverd.</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ontwerpt een meetplan dat aansluit op kritieke data-elementen en op de keten.</w:t>
      </w:r>
    </w:p>
    <w:p>
      <w:pPr>
        <w:pStyle w:val="ListParagraph"/>
        <w:numPr>
          <w:ilvl w:val="0"/>
          <w:numId w:val="2"/>
        </w:numPr>
        <w:spacing w:after="70" w:line="280"/>
      </w:pPr>
      <w:r>
        <w:rPr>
          <w:rFonts w:ascii="Calibri" w:cs="Calibri" w:eastAsia="Calibri" w:hAnsi="Calibri"/>
          <w:color w:val="0E1A1C"/>
          <w:sz w:val="21"/>
          <w:szCs w:val="21"/>
        </w:rPr>
        <w:t xml:space="preserve">Je vertaalt kwaliteitsregels naar code en kiest een uitvoeringsplek in de keten.</w:t>
      </w:r>
    </w:p>
    <w:p>
      <w:pPr>
        <w:pStyle w:val="ListParagraph"/>
        <w:numPr>
          <w:ilvl w:val="0"/>
          <w:numId w:val="2"/>
        </w:numPr>
        <w:spacing w:after="70" w:line="280"/>
      </w:pPr>
      <w:r>
        <w:rPr>
          <w:rFonts w:ascii="Calibri" w:cs="Calibri" w:eastAsia="Calibri" w:hAnsi="Calibri"/>
          <w:color w:val="0E1A1C"/>
          <w:sz w:val="21"/>
          <w:szCs w:val="21"/>
        </w:rPr>
        <w:t xml:space="preserve">Je voert een root cause analysis uit die verder komt dan het symptoom.</w:t>
      </w:r>
    </w:p>
    <w:p>
      <w:pPr>
        <w:pStyle w:val="ListParagraph"/>
        <w:numPr>
          <w:ilvl w:val="0"/>
          <w:numId w:val="2"/>
        </w:numPr>
        <w:spacing w:after="70" w:line="280"/>
      </w:pPr>
      <w:r>
        <w:rPr>
          <w:rFonts w:ascii="Calibri" w:cs="Calibri" w:eastAsia="Calibri" w:hAnsi="Calibri"/>
          <w:color w:val="0E1A1C"/>
          <w:sz w:val="21"/>
          <w:szCs w:val="21"/>
        </w:rPr>
        <w:t xml:space="preserve">Je ontwerpt een remediatie-workflow met prioritering, eigenaarschap en terugkoppeling.</w:t>
      </w:r>
    </w:p>
    <w:p>
      <w:pPr>
        <w:pStyle w:val="ListParagraph"/>
        <w:numPr>
          <w:ilvl w:val="0"/>
          <w:numId w:val="2"/>
        </w:numPr>
        <w:spacing w:after="70" w:line="280"/>
      </w:pPr>
      <w:r>
        <w:rPr>
          <w:rFonts w:ascii="Calibri" w:cs="Calibri" w:eastAsia="Calibri" w:hAnsi="Calibri"/>
          <w:color w:val="0E1A1C"/>
          <w:sz w:val="21"/>
          <w:szCs w:val="21"/>
        </w:rPr>
        <w:t xml:space="preserve">Je stelt een data contract op en benoemt wat er gebeurt bij overtreding.</w:t>
      </w:r>
    </w:p>
    <w:p>
      <w:pPr>
        <w:pStyle w:val="ListParagraph"/>
        <w:numPr>
          <w:ilvl w:val="0"/>
          <w:numId w:val="2"/>
        </w:numPr>
        <w:spacing w:after="70" w:line="280"/>
      </w:pPr>
      <w:r>
        <w:rPr>
          <w:rFonts w:ascii="Calibri" w:cs="Calibri" w:eastAsia="Calibri" w:hAnsi="Calibri"/>
          <w:color w:val="0E1A1C"/>
          <w:sz w:val="21"/>
          <w:szCs w:val="21"/>
        </w:rPr>
        <w:t xml:space="preserve">Je ontwerpt een kwaliteitsdashboard dat tot actie leidt in plaats van tot berusting.</w:t>
      </w:r>
    </w:p>
    <w:p>
      <w:pPr>
        <w:pStyle w:val="ListParagraph"/>
        <w:numPr>
          <w:ilvl w:val="0"/>
          <w:numId w:val="2"/>
        </w:numPr>
        <w:spacing w:after="70" w:line="280"/>
      </w:pPr>
      <w:r>
        <w:rPr>
          <w:rFonts w:ascii="Calibri" w:cs="Calibri" w:eastAsia="Calibri" w:hAnsi="Calibri"/>
          <w:color w:val="0E1A1C"/>
          <w:sz w:val="21"/>
          <w:szCs w:val="21"/>
        </w:rPr>
        <w:t xml:space="preserve">Je borgt de inrichting zodat zij blijft draaien zonder programma.</w:t>
      </w:r>
    </w:p>
    <w:p>
      <w:r>
        <w:br w:type="page"/>
      </w:r>
    </w:p>
    <w:p>
      <w:pPr>
        <w:pStyle w:val="Heading1"/>
        <w:spacing w:after="200" w:before="420"/>
      </w:pPr>
      <w:r>
        <w:rPr>
          <w:rFonts w:ascii="Cambria" w:cs="Cambria" w:eastAsia="Cambria" w:hAnsi="Cambria"/>
          <w:b/>
          <w:bCs/>
          <w:color w:val="1B4A48"/>
          <w:sz w:val="34"/>
          <w:szCs w:val="34"/>
        </w:rPr>
        <w:t xml:space="preserve">2. Van incident naar proces</w:t>
      </w:r>
    </w:p>
    <w:p>
      <w:pPr>
        <w:spacing w:after="140" w:line="288"/>
      </w:pPr>
      <w:r>
        <w:rPr>
          <w:rFonts w:ascii="Calibri" w:cs="Calibri" w:eastAsia="Calibri" w:hAnsi="Calibri"/>
          <w:color w:val="0E1A1C"/>
          <w:sz w:val="21"/>
          <w:szCs w:val="21"/>
        </w:rPr>
        <w:t xml:space="preserve">De kwaliteitscyclus kent vijf stappen. Organisaties die vastlopen, doen er meestal twee: meten en analyseren. De andere drie zijn waar de blijvende verandering zit.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400"/>
        <w:gridCol w:w="41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Stap</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er gebeurt</w:t>
            </w:r>
          </w:p>
        </w:tc>
        <w:tc>
          <w:tcPr>
            <w:tcW w:type="dxa" w:w="4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het misgaat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Definiëren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Vaststellen wat goed genoeg is, per element en per gebruik</w:t>
            </w:r>
          </w:p>
        </w:tc>
        <w:tc>
          <w:tcPr>
            <w:tcW w:type="dxa" w:w="4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Er wordt gemeten zonder norm; elke uitkomst is dan een falen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Meten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uitvoeren, herhaalbaar en op vaste momenten</w:t>
            </w:r>
          </w:p>
        </w:tc>
        <w:tc>
          <w:tcPr>
            <w:tcW w:type="dxa" w:w="4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Eenmalig meten en het een rapportage noemen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Analyseren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Van symptoom naar oorzaakcategorie</w:t>
            </w:r>
          </w:p>
        </w:tc>
        <w:tc>
          <w:tcPr>
            <w:tcW w:type="dxa" w:w="4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Blijven hangen bij "de data klopt niet"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Verbeteren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Ingrijpen bij de oorzaak, niet bij het symptoom</w:t>
            </w:r>
          </w:p>
        </w:tc>
        <w:tc>
          <w:tcPr>
            <w:tcW w:type="dxa" w:w="4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Schoonmaken in het platform; volgende maand staat het er weer</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Borgen</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 eigenaar en meting overdragen aan de lijn</w:t>
            </w:r>
          </w:p>
        </w:tc>
        <w:tc>
          <w:tcPr>
            <w:tcW w:type="dxa" w:w="4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programma eindigt en de meting stopt stilzwijgend</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toets voor een proces</w:t>
            </w:r>
          </w:p>
          <w:p>
            <w:pPr>
              <w:spacing w:after="60" w:line="280"/>
            </w:pPr>
            <w:r>
              <w:rPr>
                <w:rFonts w:ascii="Calibri" w:cs="Calibri" w:eastAsia="Calibri" w:hAnsi="Calibri"/>
                <w:color w:val="0E1A1C"/>
                <w:sz w:val="20"/>
                <w:szCs w:val="20"/>
              </w:rPr>
              <w:t xml:space="preserve">Draait de meting nog over een jaar, zonder dat iemand hem handmatig start? En merkt iemand het als hij niet draait? Is het antwoord op één van beide nee, dan heb je een project gebouwd en geen proces — hoe goed de eerste rapportage ook was.</w:t>
            </w:r>
          </w:p>
        </w:tc>
      </w:tr>
    </w:tbl>
    <w:p>
      <w:pPr>
        <w:pStyle w:val="Heading1"/>
        <w:spacing w:after="200" w:before="420"/>
      </w:pPr>
      <w:r>
        <w:rPr>
          <w:rFonts w:ascii="Cambria" w:cs="Cambria" w:eastAsia="Cambria" w:hAnsi="Cambria"/>
          <w:b/>
          <w:bCs/>
          <w:color w:val="1B4A48"/>
          <w:sz w:val="34"/>
          <w:szCs w:val="34"/>
        </w:rPr>
        <w:t xml:space="preserve">3. Het meetplan</w:t>
      </w:r>
    </w:p>
    <w:p>
      <w:pPr>
        <w:spacing w:after="140" w:line="288"/>
      </w:pPr>
      <w:r>
        <w:rPr>
          <w:rFonts w:ascii="Calibri" w:cs="Calibri" w:eastAsia="Calibri" w:hAnsi="Calibri"/>
          <w:color w:val="0E1A1C"/>
          <w:sz w:val="21"/>
          <w:szCs w:val="21"/>
        </w:rPr>
        <w:t xml:space="preserve">Een meetplan legt vast wat er wordt gemeten, waar, hoe vaak en tegen welke norm. Zonder plan ontstaat er een verzameling losse regels waarvan niemand het geheel overziet.</w:t>
      </w:r>
    </w:p>
    <w:p>
      <w:pPr>
        <w:pStyle w:val="Heading3"/>
        <w:spacing w:after="100" w:before="240"/>
      </w:pPr>
      <w:r>
        <w:rPr>
          <w:rFonts w:ascii="Calibri" w:cs="Calibri" w:eastAsia="Calibri" w:hAnsi="Calibri"/>
          <w:b/>
          <w:bCs/>
          <w:color w:val="3F7D74"/>
          <w:sz w:val="22"/>
          <w:szCs w:val="22"/>
        </w:rPr>
        <w:t xml:space="preserve">Vijf vragen per regel</w:t>
      </w:r>
    </w:p>
    <w:p>
      <w:pPr>
        <w:pStyle w:val="ListParagraph"/>
        <w:numPr>
          <w:ilvl w:val="0"/>
          <w:numId w:val="3"/>
        </w:numPr>
        <w:spacing w:after="70" w:line="280"/>
      </w:pPr>
      <w:r>
        <w:rPr>
          <w:rFonts w:ascii="Calibri" w:cs="Calibri" w:eastAsia="Calibri" w:hAnsi="Calibri"/>
          <w:color w:val="0E1A1C"/>
          <w:sz w:val="21"/>
          <w:szCs w:val="21"/>
        </w:rPr>
        <w:t xml:space="preserve">Welk kritiek data-element betreft het, en waarom is dat kritiek?</w:t>
      </w:r>
    </w:p>
    <w:p>
      <w:pPr>
        <w:pStyle w:val="ListParagraph"/>
        <w:numPr>
          <w:ilvl w:val="0"/>
          <w:numId w:val="3"/>
        </w:numPr>
        <w:spacing w:after="70" w:line="280"/>
      </w:pPr>
      <w:r>
        <w:rPr>
          <w:rFonts w:ascii="Calibri" w:cs="Calibri" w:eastAsia="Calibri" w:hAnsi="Calibri"/>
          <w:color w:val="0E1A1C"/>
          <w:sz w:val="21"/>
          <w:szCs w:val="21"/>
        </w:rPr>
        <w:t xml:space="preserve">Welke dimensie meet de regel? Eén per regel — een regel die twee dimensies tegelijk meet, is meestal twee regels.</w:t>
      </w:r>
    </w:p>
    <w:p>
      <w:pPr>
        <w:pStyle w:val="ListParagraph"/>
        <w:numPr>
          <w:ilvl w:val="0"/>
          <w:numId w:val="3"/>
        </w:numPr>
        <w:spacing w:after="70" w:line="280"/>
      </w:pPr>
      <w:r>
        <w:rPr>
          <w:rFonts w:ascii="Calibri" w:cs="Calibri" w:eastAsia="Calibri" w:hAnsi="Calibri"/>
          <w:color w:val="0E1A1C"/>
          <w:sz w:val="21"/>
          <w:szCs w:val="21"/>
        </w:rPr>
        <w:t xml:space="preserve">Waar in de keten meet je? Dat bepaalt wat je kunt zien en wie je kunt aanspreken.</w:t>
      </w:r>
    </w:p>
    <w:p>
      <w:pPr>
        <w:pStyle w:val="ListParagraph"/>
        <w:numPr>
          <w:ilvl w:val="0"/>
          <w:numId w:val="3"/>
        </w:numPr>
        <w:spacing w:after="70" w:line="280"/>
      </w:pPr>
      <w:r>
        <w:rPr>
          <w:rFonts w:ascii="Calibri" w:cs="Calibri" w:eastAsia="Calibri" w:hAnsi="Calibri"/>
          <w:color w:val="0E1A1C"/>
          <w:sz w:val="21"/>
          <w:szCs w:val="21"/>
        </w:rPr>
        <w:t xml:space="preserve">Hoe vaak, en wanneer? Een dagelijkse meting op een maandelijks proces levert ruis.</w:t>
      </w:r>
    </w:p>
    <w:p>
      <w:pPr>
        <w:pStyle w:val="ListParagraph"/>
        <w:numPr>
          <w:ilvl w:val="0"/>
          <w:numId w:val="3"/>
        </w:numPr>
        <w:spacing w:after="70" w:line="280"/>
      </w:pPr>
      <w:r>
        <w:rPr>
          <w:rFonts w:ascii="Calibri" w:cs="Calibri" w:eastAsia="Calibri" w:hAnsi="Calibri"/>
          <w:color w:val="0E1A1C"/>
          <w:sz w:val="21"/>
          <w:szCs w:val="21"/>
        </w:rPr>
        <w:t xml:space="preserve">Wat is de norm, en waar komt die vandaan? Leid hem af van het gebruik, niet van een gevoel.</w:t>
      </w:r>
    </w:p>
    <w:p>
      <w:pPr>
        <w:pStyle w:val="Heading3"/>
        <w:spacing w:after="100" w:before="240"/>
      </w:pPr>
      <w:r>
        <w:rPr>
          <w:rFonts w:ascii="Calibri" w:cs="Calibri" w:eastAsia="Calibri" w:hAnsi="Calibri"/>
          <w:b/>
          <w:bCs/>
          <w:color w:val="3F7D74"/>
          <w:sz w:val="22"/>
          <w:szCs w:val="22"/>
        </w:rPr>
        <w:t xml:space="preserve">Waar je meet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2800"/>
        <w:gridCol w:w="2400"/>
        <w:gridCol w:w="20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Plek</w:t>
            </w:r>
          </w:p>
        </w:tc>
        <w:tc>
          <w:tcPr>
            <w:tcW w:type="dxa" w:w="2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ziet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je kunt aanspreken</w:t>
            </w:r>
          </w:p>
        </w:tc>
        <w:tc>
          <w:tcPr>
            <w:tcW w:type="dxa" w:w="2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Beperking</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de bron</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fout op het moment van ontstaan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producer en de proceseigenaar</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Vaak geen toegang tot het bronsysteem</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de integratielaag</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er binnenkomt en wat afvalt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Team Data &amp; Integratie</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fout is al gemaakt; je ziet hem alleen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 de consumptielaag</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de gebruiker daadwerkelijk krijgt</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rapportagebouwer</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oorzaak ligt stroomopwaarts en is niet zichtbaar</w:t>
            </w:r>
          </w:p>
        </w:tc>
      </w:tr>
    </w:tbl>
    <w:p>
      <w:pPr>
        <w:spacing w:after="140"/>
      </w:pPr>
      <w:r>
        <w:t xml:space="preserve"/>
      </w:r>
    </w:p>
    <w:p>
      <w:pPr>
        <w:spacing w:after="140" w:line="288"/>
      </w:pPr>
      <w:r>
        <w:rPr>
          <w:rFonts w:ascii="Calibri" w:cs="Calibri" w:eastAsia="Calibri" w:hAnsi="Calibri"/>
          <w:color w:val="0E1A1C"/>
          <w:sz w:val="21"/>
          <w:szCs w:val="21"/>
        </w:rPr>
        <w:t xml:space="preserve">Meet op minstens twee plekken. Meten bij de bron alleen laat de ketenverliezen onzichtbaar — de 340 records die op een onbekende code stuklopen, zie je daar niet. Meten in de consumptielaag alleen laat je de oorzaak nooit vinden. De combinatie van bron en consumptie maakt bovendien het verschil zichtbaar, en dat verschil is zelf de bevinding.</w:t>
      </w:r>
    </w:p>
    <w:p>
      <w:r>
        <w:br w:type="page"/>
      </w:r>
    </w:p>
    <w:p>
      <w:pPr>
        <w:pStyle w:val="Heading1"/>
        <w:spacing w:after="200" w:before="420"/>
      </w:pPr>
      <w:r>
        <w:rPr>
          <w:rFonts w:ascii="Cambria" w:cs="Cambria" w:eastAsia="Cambria" w:hAnsi="Cambria"/>
          <w:b/>
          <w:bCs/>
          <w:color w:val="1B4A48"/>
          <w:sz w:val="34"/>
          <w:szCs w:val="34"/>
        </w:rPr>
        <w:t xml:space="preserve">4. Regels als code</w:t>
      </w:r>
    </w:p>
    <w:p>
      <w:pPr>
        <w:spacing w:after="140" w:line="288"/>
      </w:pPr>
      <w:r>
        <w:rPr>
          <w:rFonts w:ascii="Calibri" w:cs="Calibri" w:eastAsia="Calibri" w:hAnsi="Calibri"/>
          <w:color w:val="0E1A1C"/>
          <w:sz w:val="21"/>
          <w:szCs w:val="21"/>
        </w:rPr>
        <w:t xml:space="preserve">Een regel die in een document staat, wordt uitgevoerd zolang iemand eraan denkt. Een regel als code draait mee met de verwerking en meldt zichzelf. Dat verschil bepaalt of je een proces hebt of een voornemen.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100"/>
        <w:gridCol w:w="2600"/>
        <w:gridCol w:w="2300"/>
        <w:gridCol w:w="2020"/>
      </w:tblGrid>
      <w:tr>
        <w:trPr>
          <w:tblHeader/>
        </w:trPr>
        <w:tc>
          <w:tcPr>
            <w:tcW w:type="dxa" w:w="21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Aanpak</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c>
          <w:tcPr>
            <w:tcW w:type="dxa" w:w="2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Sterk in</w:t>
            </w:r>
          </w:p>
        </w:tc>
        <w:tc>
          <w:tcPr>
            <w:tcW w:type="dxa" w:w="2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Tests in de transformatielaag</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staan naast de transformatielogica en draaien mee</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die over de vorm en de samenhang van tabellen gaan</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Alleen daar waar de transformatietool draait</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Gespecialiseerd kwaliteitsraamwerk</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Uitgebreidere verwachtingen, met eigen rapportage</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Statistische verwachtingen en verdelingen</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Extra component om te beheren</w:t>
            </w:r>
          </w:p>
        </w:tc>
      </w:tr>
      <w:tr>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in het integratieplatform</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bij het koppelvlak zelf</w:t>
            </w:r>
          </w:p>
        </w:tc>
        <w:tc>
          <w:tcPr>
            <w:tcW w:type="dxa" w:w="2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 ingrijpen op wat binnenkomt</w:t>
            </w:r>
          </w:p>
        </w:tc>
        <w:tc>
          <w:tcPr>
            <w:tcW w:type="dxa" w:w="2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Vaak leverancierspecifiek en lastig te versioneren</w:t>
            </w:r>
          </w:p>
        </w:tc>
      </w:tr>
      <w:tr>
        <w:tc>
          <w:tcPr>
            <w:tcW w:type="dxa" w:w="21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in de catalogus of MDM-tool</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Regels bij het begrip in plaats van bij de tabel</w:t>
            </w:r>
          </w:p>
        </w:tc>
        <w:tc>
          <w:tcPr>
            <w:tcW w:type="dxa" w:w="2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Koppeling met definitie en eigenaarschap</w:t>
            </w:r>
          </w:p>
        </w:tc>
        <w:tc>
          <w:tcPr>
            <w:tcW w:type="dxa" w:w="2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Uitvoering is doorgaans minder krachtig</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Wat een regel als code minimaal bevat</w:t>
      </w:r>
    </w:p>
    <w:p>
      <w:pPr>
        <w:pStyle w:val="ListParagraph"/>
        <w:numPr>
          <w:ilvl w:val="0"/>
          <w:numId w:val="4"/>
        </w:numPr>
        <w:spacing w:after="70" w:line="280"/>
      </w:pPr>
      <w:r>
        <w:rPr>
          <w:rFonts w:ascii="Calibri" w:cs="Calibri" w:eastAsia="Calibri" w:hAnsi="Calibri"/>
          <w:color w:val="0E1A1C"/>
          <w:sz w:val="21"/>
          <w:szCs w:val="21"/>
        </w:rPr>
        <w:t xml:space="preserve">Een unieke identificatie, zodat je hem in rapportage en incident kunt aanwijzen.</w:t>
      </w:r>
    </w:p>
    <w:p>
      <w:pPr>
        <w:pStyle w:val="ListParagraph"/>
        <w:numPr>
          <w:ilvl w:val="0"/>
          <w:numId w:val="4"/>
        </w:numPr>
        <w:spacing w:after="70" w:line="280"/>
      </w:pPr>
      <w:r>
        <w:rPr>
          <w:rFonts w:ascii="Calibri" w:cs="Calibri" w:eastAsia="Calibri" w:hAnsi="Calibri"/>
          <w:color w:val="0E1A1C"/>
          <w:sz w:val="21"/>
          <w:szCs w:val="21"/>
        </w:rPr>
        <w:t xml:space="preserve">De conditie, in code — en niet ook nog eens in proza, want dan lopen die twee uiteen.</w:t>
      </w:r>
    </w:p>
    <w:p>
      <w:pPr>
        <w:pStyle w:val="ListParagraph"/>
        <w:numPr>
          <w:ilvl w:val="0"/>
          <w:numId w:val="4"/>
        </w:numPr>
        <w:spacing w:after="70" w:line="280"/>
      </w:pPr>
      <w:r>
        <w:rPr>
          <w:rFonts w:ascii="Calibri" w:cs="Calibri" w:eastAsia="Calibri" w:hAnsi="Calibri"/>
          <w:color w:val="0E1A1C"/>
          <w:sz w:val="21"/>
          <w:szCs w:val="21"/>
        </w:rPr>
        <w:t xml:space="preserve">De drempel, als parameter en niet hard in de code, zodat wijzigen geen release vraagt.</w:t>
      </w:r>
    </w:p>
    <w:p>
      <w:pPr>
        <w:pStyle w:val="ListParagraph"/>
        <w:numPr>
          <w:ilvl w:val="0"/>
          <w:numId w:val="4"/>
        </w:numPr>
        <w:spacing w:after="70" w:line="280"/>
      </w:pPr>
      <w:r>
        <w:rPr>
          <w:rFonts w:ascii="Calibri" w:cs="Calibri" w:eastAsia="Calibri" w:hAnsi="Calibri"/>
          <w:color w:val="0E1A1C"/>
          <w:sz w:val="21"/>
          <w:szCs w:val="21"/>
        </w:rPr>
        <w:t xml:space="preserve">De ernst, die bepaalt of de verwerking stopt of doorgaat met een melding.</w:t>
      </w:r>
    </w:p>
    <w:p>
      <w:pPr>
        <w:pStyle w:val="ListParagraph"/>
        <w:numPr>
          <w:ilvl w:val="0"/>
          <w:numId w:val="4"/>
        </w:numPr>
        <w:spacing w:after="70" w:line="280"/>
      </w:pPr>
      <w:r>
        <w:rPr>
          <w:rFonts w:ascii="Calibri" w:cs="Calibri" w:eastAsia="Calibri" w:hAnsi="Calibri"/>
          <w:color w:val="0E1A1C"/>
          <w:sz w:val="21"/>
          <w:szCs w:val="21"/>
        </w:rPr>
        <w:t xml:space="preserve">De eigenaar, als attribuut bij de regel zelf. Zonder dat komt de melding bij niemand terecht.</w:t>
      </w:r>
    </w:p>
    <w:p>
      <w:pPr>
        <w:pStyle w:val="ListParagraph"/>
        <w:numPr>
          <w:ilvl w:val="0"/>
          <w:numId w:val="4"/>
        </w:numPr>
        <w:spacing w:after="70" w:line="280"/>
      </w:pPr>
      <w:r>
        <w:rPr>
          <w:rFonts w:ascii="Calibri" w:cs="Calibri" w:eastAsia="Calibri" w:hAnsi="Calibri"/>
          <w:color w:val="0E1A1C"/>
          <w:sz w:val="21"/>
          <w:szCs w:val="21"/>
        </w:rPr>
        <w:t xml:space="preserve">Versiebeheer, zodat je kunt reconstrueren welke regel gold toen een meting werd gedaan.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Stoppen of doorgaan</w:t>
            </w:r>
          </w:p>
          <w:p>
            <w:pPr>
              <w:spacing w:after="60" w:line="280"/>
            </w:pPr>
            <w:r>
              <w:rPr>
                <w:rFonts w:ascii="Calibri" w:cs="Calibri" w:eastAsia="Calibri" w:hAnsi="Calibri"/>
                <w:color w:val="0E1A1C"/>
                <w:sz w:val="20"/>
                <w:szCs w:val="20"/>
              </w:rPr>
              <w:t xml:space="preserve">De ernst van een regel is een businessbesluit, geen technische instelling. Een regel die de verwerking stopt, beschermt de kwaliteit en legt bij een fout de hele rapportageketen stil. Een regel die alleen meldt, houdt de keten draaiend en laat foute data door. Leg per regel vast wie dat besluit heeft genomen — bij een incident is dat de eerste vraag.</w:t>
            </w:r>
          </w:p>
        </w:tc>
      </w:tr>
    </w:tbl>
    <w:p>
      <w:pPr>
        <w:pStyle w:val="Heading1"/>
        <w:spacing w:after="200" w:before="420"/>
      </w:pPr>
      <w:r>
        <w:rPr>
          <w:rFonts w:ascii="Cambria" w:cs="Cambria" w:eastAsia="Cambria" w:hAnsi="Cambria"/>
          <w:b/>
          <w:bCs/>
          <w:color w:val="1B4A48"/>
          <w:sz w:val="34"/>
          <w:szCs w:val="34"/>
        </w:rPr>
        <w:t xml:space="preserve">5. Root cause analysis</w:t>
      </w:r>
    </w:p>
    <w:p>
      <w:pPr>
        <w:spacing w:after="140" w:line="288"/>
      </w:pPr>
      <w:r>
        <w:rPr>
          <w:rFonts w:ascii="Calibri" w:cs="Calibri" w:eastAsia="Calibri" w:hAnsi="Calibri"/>
          <w:color w:val="0E1A1C"/>
          <w:sz w:val="21"/>
          <w:szCs w:val="21"/>
        </w:rPr>
        <w:t xml:space="preserve">De valkuil is stoppen bij de eerste plausibele verklaring. Drie technieken helpen om door te vragen, en ze vullen elkaar aan.</w:t>
      </w:r>
    </w:p>
    <w:p>
      <w:pPr>
        <w:pStyle w:val="ListParagraph"/>
        <w:numPr>
          <w:ilvl w:val="0"/>
          <w:numId w:val="4"/>
        </w:numPr>
        <w:spacing w:after="70" w:line="280"/>
      </w:pPr>
      <w:r>
        <w:rPr>
          <w:rFonts w:ascii="Calibri" w:cs="Calibri" w:eastAsia="Calibri" w:hAnsi="Calibri"/>
          <w:color w:val="0E1A1C"/>
          <w:sz w:val="21"/>
          <w:szCs w:val="21"/>
        </w:rPr>
        <w:t xml:space="preserve">Vijf keer waarom: geschikt voor een enkelvoudige oorzaakketen. Stop niet bij "de medewerker vulde het verkeerd in" — vraag door tot je bij het scherm of het proces bent.</w:t>
      </w:r>
    </w:p>
    <w:p>
      <w:pPr>
        <w:pStyle w:val="ListParagraph"/>
        <w:numPr>
          <w:ilvl w:val="0"/>
          <w:numId w:val="4"/>
        </w:numPr>
        <w:spacing w:after="70" w:line="280"/>
      </w:pPr>
      <w:r>
        <w:rPr>
          <w:rFonts w:ascii="Calibri" w:cs="Calibri" w:eastAsia="Calibri" w:hAnsi="Calibri"/>
          <w:color w:val="0E1A1C"/>
          <w:sz w:val="21"/>
          <w:szCs w:val="21"/>
        </w:rPr>
        <w:t xml:space="preserve">Visgraatdiagram: geschikt wanneer meerdere factoren samenspelen. Categorieën die in dit vak werken: proces, systeem, definitie, mens, keten.</w:t>
      </w:r>
    </w:p>
    <w:p>
      <w:pPr>
        <w:pStyle w:val="ListParagraph"/>
        <w:numPr>
          <w:ilvl w:val="0"/>
          <w:numId w:val="4"/>
        </w:numPr>
        <w:spacing w:after="70" w:line="280"/>
      </w:pPr>
      <w:r>
        <w:rPr>
          <w:rFonts w:ascii="Calibri" w:cs="Calibri" w:eastAsia="Calibri" w:hAnsi="Calibri"/>
          <w:color w:val="0E1A1C"/>
          <w:sz w:val="21"/>
          <w:szCs w:val="21"/>
        </w:rPr>
        <w:t xml:space="preserve">Ketenanalyse: de acht vragen uit deel 3. Onmisbaar wanneer de fout stroomafwaarts zichtbaar wordt en stroomopwaarts ontstaat.</w:t>
      </w:r>
    </w:p>
    <w:p>
      <w:pPr>
        <w:spacing w:after="140" w:line="288"/>
      </w:pPr>
      <w:r>
        <w:rPr>
          <w:rFonts w:ascii="Calibri" w:cs="Calibri" w:eastAsia="Calibri" w:hAnsi="Calibri"/>
          <w:color w:val="0E1A1C"/>
          <w:sz w:val="21"/>
          <w:szCs w:val="21"/>
        </w:rPr>
        <w:t xml:space="preserve">De uitkomst van een goede analyse is een oorzaakcategorie uit deel 4 — invoer en proces, ontwerp, integratie, definitie of veroudering — plus een aanwijsbare plek. "Datakwaliteit" is geen oorzaak; "een verplicht veld waar de werkelijkheid uitzonderingen kent, in scherm KLT-04" wel.</w:t>
      </w:r>
    </w:p>
    <w:p>
      <w:pPr>
        <w:pStyle w:val="Heading1"/>
        <w:spacing w:after="200" w:before="420"/>
      </w:pPr>
      <w:r>
        <w:rPr>
          <w:rFonts w:ascii="Cambria" w:cs="Cambria" w:eastAsia="Cambria" w:hAnsi="Cambria"/>
          <w:b/>
          <w:bCs/>
          <w:color w:val="1B4A48"/>
          <w:sz w:val="34"/>
          <w:szCs w:val="34"/>
        </w:rPr>
        <w:t xml:space="preserve">6. Remediatie</w:t>
      </w:r>
    </w:p>
    <w:p>
      <w:pPr>
        <w:spacing w:after="140" w:line="288"/>
      </w:pPr>
      <w:r>
        <w:rPr>
          <w:rFonts w:ascii="Calibri" w:cs="Calibri" w:eastAsia="Calibri" w:hAnsi="Calibri"/>
          <w:color w:val="0E1A1C"/>
          <w:sz w:val="21"/>
          <w:szCs w:val="21"/>
        </w:rPr>
        <w:t xml:space="preserve">Bevindingen zonder remediatiepad stapelen zich op tot een lijst die niemand meer opent. Het pad heeft vier elementen.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400"/>
        <w:gridCol w:w="39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Element</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Ontwerpvraag</w:t>
            </w:r>
          </w:p>
        </w:tc>
        <w:tc>
          <w:tcPr>
            <w:tcW w:type="dxa" w:w="3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Prioritering</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 grond waarvan bepaal je wat eerst gebeurt?</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Impact op de DNB-bevinding maal het aantal geraakte records</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Toewijzing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lost op, en wie beslist dat?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van het domein wijst toe; steward voert uit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Doorlooptijd</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Binnen hoeveel tijd, per ernstniveau?</w:t>
            </w:r>
          </w:p>
        </w:tc>
        <w:tc>
          <w:tcPr>
            <w:tcW w:type="dxa" w:w="3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Hoog: tien werkdagen. Midden: een kwartaal. Laag: opgenomen in de backlog</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Verificatie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stel je vast dat het echt is opgelost?</w:t>
            </w:r>
          </w:p>
        </w:tc>
        <w:tc>
          <w:tcPr>
            <w:tcW w:type="dxa" w:w="3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regel meet zichzelf; de meting van de volgende periode is het bewijs</w:t>
            </w:r>
          </w:p>
        </w:tc>
      </w:tr>
    </w:tbl>
    <w:p>
      <w:pPr>
        <w:spacing w:after="140"/>
      </w:pPr>
      <w:r>
        <w:t xml:space="preserve"/>
      </w:r>
    </w:p>
    <w:p>
      <w:pPr>
        <w:spacing w:after="140" w:line="288"/>
      </w:pPr>
      <w:r>
        <w:rPr>
          <w:rFonts w:ascii="Calibri" w:cs="Calibri" w:eastAsia="Calibri" w:hAnsi="Calibri"/>
          <w:color w:val="0E1A1C"/>
          <w:sz w:val="21"/>
          <w:szCs w:val="21"/>
        </w:rPr>
        <w:t xml:space="preserve">Het onderscheid tussen correctie en preventie hoort expliciet in het pad. Corrigeren is de bestaande records repareren; preventie is voorkomen dat er nieuwe bij komen. Wie alleen corrigeert, herhaalt dat elk kwartaal; wie alleen preventie doet, laat de bestaande fouten staan. Vrijwel elke bevinding vraagt beide, met verschillende eigenaren en verschillende doorlooptijden.</w:t>
      </w:r>
    </w:p>
    <w:p>
      <w:r>
        <w:br w:type="page"/>
      </w:r>
    </w:p>
    <w:p>
      <w:pPr>
        <w:pStyle w:val="Heading1"/>
        <w:spacing w:after="200" w:before="420"/>
      </w:pPr>
      <w:r>
        <w:rPr>
          <w:rFonts w:ascii="Cambria" w:cs="Cambria" w:eastAsia="Cambria" w:hAnsi="Cambria"/>
          <w:b/>
          <w:bCs/>
          <w:color w:val="1B4A48"/>
          <w:sz w:val="34"/>
          <w:szCs w:val="34"/>
        </w:rPr>
        <w:t xml:space="preserve">7. Data contracts</w:t>
      </w:r>
    </w:p>
    <w:p>
      <w:pPr>
        <w:spacing w:after="140" w:line="288"/>
      </w:pPr>
      <w:r>
        <w:rPr>
          <w:rFonts w:ascii="Calibri" w:cs="Calibri" w:eastAsia="Calibri" w:hAnsi="Calibri"/>
          <w:color w:val="0E1A1C"/>
          <w:sz w:val="21"/>
          <w:szCs w:val="21"/>
        </w:rPr>
        <w:t xml:space="preserve">Een data contract legt vast wat een leverende partij levert en wat een afnemende partij mag verwachten. Het is de volwassen vorm van de afspraak die nu impliciet is en daarom bij elke verandering breekt.</w:t>
      </w:r>
    </w:p>
    <w:p>
      <w:pPr>
        <w:pStyle w:val="Heading3"/>
        <w:spacing w:after="100" w:before="240"/>
      </w:pPr>
      <w:r>
        <w:rPr>
          <w:rFonts w:ascii="Calibri" w:cs="Calibri" w:eastAsia="Calibri" w:hAnsi="Calibri"/>
          <w:b/>
          <w:bCs/>
          <w:color w:val="3F7D74"/>
          <w:sz w:val="22"/>
          <w:szCs w:val="22"/>
        </w:rPr>
        <w:t xml:space="preserve">Wat erin staat</w:t>
      </w:r>
    </w:p>
    <w:p>
      <w:pPr>
        <w:pStyle w:val="ListParagraph"/>
        <w:numPr>
          <w:ilvl w:val="0"/>
          <w:numId w:val="5"/>
        </w:numPr>
        <w:spacing w:after="70" w:line="280"/>
      </w:pPr>
      <w:r>
        <w:rPr>
          <w:rFonts w:ascii="Calibri" w:cs="Calibri" w:eastAsia="Calibri" w:hAnsi="Calibri"/>
          <w:color w:val="0E1A1C"/>
          <w:sz w:val="21"/>
          <w:szCs w:val="21"/>
        </w:rPr>
        <w:t xml:space="preserve">De dataset en het schema: welke velden, welke typen, welke sleutels. Wijziging daarvan is een contractwijziging.</w:t>
      </w:r>
    </w:p>
    <w:p>
      <w:pPr>
        <w:pStyle w:val="ListParagraph"/>
        <w:numPr>
          <w:ilvl w:val="0"/>
          <w:numId w:val="5"/>
        </w:numPr>
        <w:spacing w:after="70" w:line="280"/>
      </w:pPr>
      <w:r>
        <w:rPr>
          <w:rFonts w:ascii="Calibri" w:cs="Calibri" w:eastAsia="Calibri" w:hAnsi="Calibri"/>
          <w:color w:val="0E1A1C"/>
          <w:sz w:val="21"/>
          <w:szCs w:val="21"/>
        </w:rPr>
        <w:t xml:space="preserve">De kwaliteitsafspraak per kritiek veld: welke regel, welke drempel.</w:t>
      </w:r>
    </w:p>
    <w:p>
      <w:pPr>
        <w:pStyle w:val="ListParagraph"/>
        <w:numPr>
          <w:ilvl w:val="0"/>
          <w:numId w:val="5"/>
        </w:numPr>
        <w:spacing w:after="70" w:line="280"/>
      </w:pPr>
      <w:r>
        <w:rPr>
          <w:rFonts w:ascii="Calibri" w:cs="Calibri" w:eastAsia="Calibri" w:hAnsi="Calibri"/>
          <w:color w:val="0E1A1C"/>
          <w:sz w:val="21"/>
          <w:szCs w:val="21"/>
        </w:rPr>
        <w:t xml:space="preserve">De actualiteit: hoe vaak wordt geleverd, en wat is de maximale vertraging?</w:t>
      </w:r>
    </w:p>
    <w:p>
      <w:pPr>
        <w:pStyle w:val="ListParagraph"/>
        <w:numPr>
          <w:ilvl w:val="0"/>
          <w:numId w:val="5"/>
        </w:numPr>
        <w:spacing w:after="70" w:line="280"/>
      </w:pPr>
      <w:r>
        <w:rPr>
          <w:rFonts w:ascii="Calibri" w:cs="Calibri" w:eastAsia="Calibri" w:hAnsi="Calibri"/>
          <w:color w:val="0E1A1C"/>
          <w:sz w:val="21"/>
          <w:szCs w:val="21"/>
        </w:rPr>
        <w:t xml:space="preserve">De semantiek: de definitie van elk veld, met verwijzing naar het begrippenkader uit deel 13.</w:t>
      </w:r>
    </w:p>
    <w:p>
      <w:pPr>
        <w:pStyle w:val="ListParagraph"/>
        <w:numPr>
          <w:ilvl w:val="0"/>
          <w:numId w:val="5"/>
        </w:numPr>
        <w:spacing w:after="70" w:line="280"/>
      </w:pPr>
      <w:r>
        <w:rPr>
          <w:rFonts w:ascii="Calibri" w:cs="Calibri" w:eastAsia="Calibri" w:hAnsi="Calibri"/>
          <w:color w:val="0E1A1C"/>
          <w:sz w:val="21"/>
          <w:szCs w:val="21"/>
        </w:rPr>
        <w:t xml:space="preserve">De wijzigingsafspraak: hoeveel tijd vooraf wordt een schemawijziging aangekondigd?</w:t>
      </w:r>
    </w:p>
    <w:p>
      <w:pPr>
        <w:pStyle w:val="ListParagraph"/>
        <w:numPr>
          <w:ilvl w:val="0"/>
          <w:numId w:val="5"/>
        </w:numPr>
        <w:spacing w:after="70" w:line="280"/>
      </w:pPr>
      <w:r>
        <w:rPr>
          <w:rFonts w:ascii="Calibri" w:cs="Calibri" w:eastAsia="Calibri" w:hAnsi="Calibri"/>
          <w:color w:val="0E1A1C"/>
          <w:sz w:val="21"/>
          <w:szCs w:val="21"/>
        </w:rPr>
        <w:t xml:space="preserve">Het escalatiepad bij overtreding, met termijn.</w:t>
      </w:r>
    </w:p>
    <w:p>
      <w:pPr>
        <w:pStyle w:val="ListParagraph"/>
        <w:numPr>
          <w:ilvl w:val="0"/>
          <w:numId w:val="5"/>
        </w:numPr>
        <w:spacing w:after="70" w:line="280"/>
      </w:pPr>
      <w:r>
        <w:rPr>
          <w:rFonts w:ascii="Calibri" w:cs="Calibri" w:eastAsia="Calibri" w:hAnsi="Calibri"/>
          <w:color w:val="0E1A1C"/>
          <w:sz w:val="21"/>
          <w:szCs w:val="21"/>
        </w:rPr>
        <w:t xml:space="preserve">De ondertekenaars: de data owner aan leverancierszijde en aan afnemerszijde.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Waarom contracten falen</w:t>
            </w:r>
          </w:p>
          <w:p>
            <w:pPr>
              <w:spacing w:after="60" w:line="280"/>
            </w:pPr>
            <w:r>
              <w:rPr>
                <w:rFonts w:ascii="Calibri" w:cs="Calibri" w:eastAsia="Calibri" w:hAnsi="Calibri"/>
                <w:color w:val="0E1A1C"/>
                <w:sz w:val="20"/>
                <w:szCs w:val="20"/>
              </w:rPr>
              <w:t xml:space="preserve">Vrijwel nooit op de inhoud. Ze falen doordat er geen consequentie aan een overtreding hangt. Een contract zonder afgesproken gevolg is een verwachting op papier. Spreek daarom vooraf af wat er gebeurt: melding, escalatie naar de data owner, en bij herhaling het opschorten van de levering — hoe ongemakkelijk dat laatste ook klinkt.</w:t>
            </w:r>
          </w:p>
        </w:tc>
      </w:tr>
    </w:tbl>
    <w:p>
      <w:pPr>
        <w:pStyle w:val="Heading1"/>
        <w:spacing w:after="200" w:before="420"/>
      </w:pPr>
      <w:r>
        <w:rPr>
          <w:rFonts w:ascii="Cambria" w:cs="Cambria" w:eastAsia="Cambria" w:hAnsi="Cambria"/>
          <w:b/>
          <w:bCs/>
          <w:color w:val="1B4A48"/>
          <w:sz w:val="34"/>
          <w:szCs w:val="34"/>
        </w:rPr>
        <w:t xml:space="preserve">8. Het kwaliteitsdashboard</w:t>
      </w:r>
    </w:p>
    <w:p>
      <w:pPr>
        <w:spacing w:after="140" w:line="288"/>
      </w:pPr>
      <w:r>
        <w:rPr>
          <w:rFonts w:ascii="Calibri" w:cs="Calibri" w:eastAsia="Calibri" w:hAnsi="Calibri"/>
          <w:color w:val="0E1A1C"/>
          <w:sz w:val="21"/>
          <w:szCs w:val="21"/>
        </w:rPr>
        <w:t xml:space="preserve">De meeste kwaliteitsdashboards leiden tot berusting: een reeks percentages die niemand kan beïnvloeden. Vier ontwerpkeuzes maken het verschil.</w:t>
      </w:r>
    </w:p>
    <w:p>
      <w:pPr>
        <w:pStyle w:val="ListParagraph"/>
        <w:numPr>
          <w:ilvl w:val="0"/>
          <w:numId w:val="4"/>
        </w:numPr>
        <w:spacing w:after="70" w:line="280"/>
      </w:pPr>
      <w:r>
        <w:rPr>
          <w:rFonts w:ascii="Calibri" w:cs="Calibri" w:eastAsia="Calibri" w:hAnsi="Calibri"/>
          <w:color w:val="0E1A1C"/>
          <w:sz w:val="21"/>
          <w:szCs w:val="21"/>
        </w:rPr>
        <w:t xml:space="preserve">Rapporteer per kritiek data-element, niet per tabel. De lezer herkent "e-mailadres deelnemer" en niet "lz_pas_deelnemer.dlnm_eml".</w:t>
      </w:r>
    </w:p>
    <w:p>
      <w:pPr>
        <w:pStyle w:val="ListParagraph"/>
        <w:numPr>
          <w:ilvl w:val="0"/>
          <w:numId w:val="4"/>
        </w:numPr>
        <w:spacing w:after="70" w:line="280"/>
      </w:pPr>
      <w:r>
        <w:rPr>
          <w:rFonts w:ascii="Calibri" w:cs="Calibri" w:eastAsia="Calibri" w:hAnsi="Calibri"/>
          <w:color w:val="0E1A1C"/>
          <w:sz w:val="21"/>
          <w:szCs w:val="21"/>
        </w:rPr>
        <w:t xml:space="preserve">Zet de norm naast de score. Een score zonder norm nodigt uit tot een discussie over of het erg is.</w:t>
      </w:r>
    </w:p>
    <w:p>
      <w:pPr>
        <w:pStyle w:val="ListParagraph"/>
        <w:numPr>
          <w:ilvl w:val="0"/>
          <w:numId w:val="4"/>
        </w:numPr>
        <w:spacing w:after="70" w:line="280"/>
      </w:pPr>
      <w:r>
        <w:rPr>
          <w:rFonts w:ascii="Calibri" w:cs="Calibri" w:eastAsia="Calibri" w:hAnsi="Calibri"/>
          <w:color w:val="0E1A1C"/>
          <w:sz w:val="21"/>
          <w:szCs w:val="21"/>
        </w:rPr>
        <w:t xml:space="preserve">Toon de trend, niet alleen de stand. Een gelijkblijvende 94 procent is iets anders dan een 94 die vorige maand 88 was.</w:t>
      </w:r>
    </w:p>
    <w:p>
      <w:pPr>
        <w:pStyle w:val="ListParagraph"/>
        <w:numPr>
          <w:ilvl w:val="0"/>
          <w:numId w:val="4"/>
        </w:numPr>
        <w:spacing w:after="70" w:line="280"/>
      </w:pPr>
      <w:r>
        <w:rPr>
          <w:rFonts w:ascii="Calibri" w:cs="Calibri" w:eastAsia="Calibri" w:hAnsi="Calibri"/>
          <w:color w:val="0E1A1C"/>
          <w:sz w:val="21"/>
          <w:szCs w:val="21"/>
        </w:rPr>
        <w:t xml:space="preserve">Toon per afwijking de eigenaar en de status van de remediatie. Zonder die twee is het dashboard een klaagmuur.</w:t>
      </w:r>
    </w:p>
    <w:p>
      <w:pPr>
        <w:spacing w:after="140" w:line="288"/>
      </w:pPr>
      <w:r>
        <w:rPr>
          <w:rFonts w:ascii="Calibri" w:cs="Calibri" w:eastAsia="Calibri" w:hAnsi="Calibri"/>
          <w:color w:val="0E1A1C"/>
          <w:sz w:val="21"/>
          <w:szCs w:val="21"/>
        </w:rPr>
        <w:t xml:space="preserve">Rapporteer daarnaast wat je niet meet. Een dashboard dat acht van de vierentwintig kritieke elementen toont, wordt gelezen alsof het over alles gaat — tenzij je erbij zet dat het dat niet doet.</w:t>
      </w:r>
    </w:p>
    <w:p>
      <w:pPr>
        <w:pStyle w:val="Heading1"/>
        <w:spacing w:after="200" w:before="420"/>
      </w:pPr>
      <w:r>
        <w:rPr>
          <w:rFonts w:ascii="Cambria" w:cs="Cambria" w:eastAsia="Cambria" w:hAnsi="Cambria"/>
          <w:b/>
          <w:bCs/>
          <w:color w:val="1B4A48"/>
          <w:sz w:val="34"/>
          <w:szCs w:val="34"/>
        </w:rPr>
        <w:t xml:space="preserve">9. Borgen</w:t>
      </w:r>
    </w:p>
    <w:p>
      <w:pPr>
        <w:spacing w:after="140" w:line="288"/>
      </w:pPr>
      <w:r>
        <w:rPr>
          <w:rFonts w:ascii="Calibri" w:cs="Calibri" w:eastAsia="Calibri" w:hAnsi="Calibri"/>
          <w:color w:val="0E1A1C"/>
          <w:sz w:val="21"/>
          <w:szCs w:val="21"/>
        </w:rPr>
        <w:t xml:space="preserve">Dit is de stap die het vaakst wordt overgeslagen en die bepaalt of je werk over een jaar nog bestaat. Borgen betekent dat regel, meting, eigenaarschap en opvolging in de lijn liggen en niet bij het programma.</w:t>
      </w:r>
    </w:p>
    <w:p>
      <w:pPr>
        <w:pStyle w:val="ListParagraph"/>
        <w:numPr>
          <w:ilvl w:val="0"/>
          <w:numId w:val="6"/>
        </w:numPr>
        <w:spacing w:after="70" w:line="280"/>
      </w:pPr>
      <w:r>
        <w:rPr>
          <w:rFonts w:ascii="Calibri" w:cs="Calibri" w:eastAsia="Calibri" w:hAnsi="Calibri"/>
          <w:color w:val="0E1A1C"/>
          <w:sz w:val="21"/>
          <w:szCs w:val="21"/>
        </w:rPr>
        <w:t xml:space="preserve">Elke regel heeft een eigenaar in de lijn, met naam, en die eigenaar weet het.</w:t>
      </w:r>
    </w:p>
    <w:p>
      <w:pPr>
        <w:pStyle w:val="ListParagraph"/>
        <w:numPr>
          <w:ilvl w:val="0"/>
          <w:numId w:val="6"/>
        </w:numPr>
        <w:spacing w:after="70" w:line="280"/>
      </w:pPr>
      <w:r>
        <w:rPr>
          <w:rFonts w:ascii="Calibri" w:cs="Calibri" w:eastAsia="Calibri" w:hAnsi="Calibri"/>
          <w:color w:val="0E1A1C"/>
          <w:sz w:val="21"/>
          <w:szCs w:val="21"/>
        </w:rPr>
        <w:t xml:space="preserve">De meting draait automatisch en meldt zichzelf; niemand hoeft hem te starten.</w:t>
      </w:r>
    </w:p>
    <w:p>
      <w:pPr>
        <w:pStyle w:val="ListParagraph"/>
        <w:numPr>
          <w:ilvl w:val="0"/>
          <w:numId w:val="6"/>
        </w:numPr>
        <w:spacing w:after="70" w:line="280"/>
      </w:pPr>
      <w:r>
        <w:rPr>
          <w:rFonts w:ascii="Calibri" w:cs="Calibri" w:eastAsia="Calibri" w:hAnsi="Calibri"/>
          <w:color w:val="0E1A1C"/>
          <w:sz w:val="21"/>
          <w:szCs w:val="21"/>
        </w:rPr>
        <w:t xml:space="preserve">Er is monitoring op de meting zelf: iemand merkt het als zij niet draait.</w:t>
      </w:r>
    </w:p>
    <w:p>
      <w:pPr>
        <w:pStyle w:val="ListParagraph"/>
        <w:numPr>
          <w:ilvl w:val="0"/>
          <w:numId w:val="6"/>
        </w:numPr>
        <w:spacing w:after="70" w:line="280"/>
      </w:pPr>
      <w:r>
        <w:rPr>
          <w:rFonts w:ascii="Calibri" w:cs="Calibri" w:eastAsia="Calibri" w:hAnsi="Calibri"/>
          <w:color w:val="0E1A1C"/>
          <w:sz w:val="21"/>
          <w:szCs w:val="21"/>
        </w:rPr>
        <w:t xml:space="preserve">De kwaliteitsrapportage staat op de agenda van een bestaand overleg, niet van een programmaoverleg.</w:t>
      </w:r>
    </w:p>
    <w:p>
      <w:pPr>
        <w:pStyle w:val="ListParagraph"/>
        <w:numPr>
          <w:ilvl w:val="0"/>
          <w:numId w:val="6"/>
        </w:numPr>
        <w:spacing w:after="70" w:line="280"/>
      </w:pPr>
      <w:r>
        <w:rPr>
          <w:rFonts w:ascii="Calibri" w:cs="Calibri" w:eastAsia="Calibri" w:hAnsi="Calibri"/>
          <w:color w:val="0E1A1C"/>
          <w:sz w:val="21"/>
          <w:szCs w:val="21"/>
        </w:rPr>
        <w:t xml:space="preserve">Er is een proces om regels toe te voegen, te wijzigen en te verwijderen — met dezelfde stappen als het begripsproces uit deel 13.</w:t>
      </w:r>
    </w:p>
    <w:p>
      <w:pPr>
        <w:pStyle w:val="ListParagraph"/>
        <w:numPr>
          <w:ilvl w:val="0"/>
          <w:numId w:val="6"/>
        </w:numPr>
        <w:spacing w:after="70" w:line="280"/>
      </w:pPr>
      <w:r>
        <w:rPr>
          <w:rFonts w:ascii="Calibri" w:cs="Calibri" w:eastAsia="Calibri" w:hAnsi="Calibri"/>
          <w:color w:val="0E1A1C"/>
          <w:sz w:val="21"/>
          <w:szCs w:val="21"/>
        </w:rPr>
        <w:t xml:space="preserve">De doorlooptijd van remediatie wordt gemeten en besproken; anders verdwijnt de opvolging als eerste.</w:t>
      </w:r>
    </w:p>
    <w:p>
      <w:pPr>
        <w:pStyle w:val="Heading1"/>
        <w:spacing w:after="200" w:before="420"/>
      </w:pPr>
      <w:r>
        <w:rPr>
          <w:rFonts w:ascii="Cambria" w:cs="Cambria" w:eastAsia="Cambria" w:hAnsi="Cambria"/>
          <w:b/>
          <w:bCs/>
          <w:color w:val="1B4A48"/>
          <w:sz w:val="34"/>
          <w:szCs w:val="34"/>
        </w:rPr>
        <w:t xml:space="preserve">10. Vijf valkuilen</w:t>
      </w:r>
    </w:p>
    <w:p>
      <w:pPr>
        <w:pStyle w:val="ListParagraph"/>
        <w:numPr>
          <w:ilvl w:val="0"/>
          <w:numId w:val="7"/>
        </w:numPr>
        <w:spacing w:after="70" w:line="280"/>
      </w:pPr>
      <w:r>
        <w:rPr>
          <w:rFonts w:ascii="Calibri" w:cs="Calibri" w:eastAsia="Calibri" w:hAnsi="Calibri"/>
          <w:color w:val="0E1A1C"/>
          <w:sz w:val="21"/>
          <w:szCs w:val="21"/>
        </w:rPr>
        <w:t xml:space="preserve">Meten zonder norm, waardoor elke uitkomst een falen is.</w:t>
      </w:r>
    </w:p>
    <w:p>
      <w:pPr>
        <w:pStyle w:val="ListParagraph"/>
        <w:numPr>
          <w:ilvl w:val="0"/>
          <w:numId w:val="7"/>
        </w:numPr>
        <w:spacing w:after="70" w:line="280"/>
      </w:pPr>
      <w:r>
        <w:rPr>
          <w:rFonts w:ascii="Calibri" w:cs="Calibri" w:eastAsia="Calibri" w:hAnsi="Calibri"/>
          <w:color w:val="0E1A1C"/>
          <w:sz w:val="21"/>
          <w:szCs w:val="21"/>
        </w:rPr>
        <w:t xml:space="preserve">Regels in een document laten staan in plaats van in code.</w:t>
      </w:r>
    </w:p>
    <w:p>
      <w:pPr>
        <w:pStyle w:val="ListParagraph"/>
        <w:numPr>
          <w:ilvl w:val="0"/>
          <w:numId w:val="7"/>
        </w:numPr>
        <w:spacing w:after="70" w:line="280"/>
      </w:pPr>
      <w:r>
        <w:rPr>
          <w:rFonts w:ascii="Calibri" w:cs="Calibri" w:eastAsia="Calibri" w:hAnsi="Calibri"/>
          <w:color w:val="0E1A1C"/>
          <w:sz w:val="21"/>
          <w:szCs w:val="21"/>
        </w:rPr>
        <w:t xml:space="preserve">Corrigeren zonder preventie, of preventie zonder correctie.</w:t>
      </w:r>
    </w:p>
    <w:p>
      <w:pPr>
        <w:pStyle w:val="ListParagraph"/>
        <w:numPr>
          <w:ilvl w:val="0"/>
          <w:numId w:val="7"/>
        </w:numPr>
        <w:spacing w:after="70" w:line="280"/>
      </w:pPr>
      <w:r>
        <w:rPr>
          <w:rFonts w:ascii="Calibri" w:cs="Calibri" w:eastAsia="Calibri" w:hAnsi="Calibri"/>
          <w:color w:val="0E1A1C"/>
          <w:sz w:val="21"/>
          <w:szCs w:val="21"/>
        </w:rPr>
        <w:t xml:space="preserve">Een data contract sluiten zonder consequentie bij overtreding.</w:t>
      </w:r>
    </w:p>
    <w:p>
      <w:pPr>
        <w:pStyle w:val="ListParagraph"/>
        <w:numPr>
          <w:ilvl w:val="0"/>
          <w:numId w:val="7"/>
        </w:numPr>
        <w:spacing w:after="70" w:line="280"/>
      </w:pPr>
      <w:r>
        <w:rPr>
          <w:rFonts w:ascii="Calibri" w:cs="Calibri" w:eastAsia="Calibri" w:hAnsi="Calibri"/>
          <w:color w:val="0E1A1C"/>
          <w:sz w:val="21"/>
          <w:szCs w:val="21"/>
        </w:rPr>
        <w:t xml:space="preserve">De borging overslaan omdat de eerste rapportage er goed uitzag.</w:t>
      </w:r>
    </w:p>
    <w:p>
      <w:pPr>
        <w:pStyle w:val="Heading1"/>
        <w:spacing w:after="200" w:before="420"/>
      </w:pPr>
      <w:r>
        <w:rPr>
          <w:rFonts w:ascii="Cambria" w:cs="Cambria" w:eastAsia="Cambria" w:hAnsi="Cambria"/>
          <w:b/>
          <w:bCs/>
          <w:color w:val="1B4A48"/>
          <w:sz w:val="34"/>
          <w:szCs w:val="34"/>
        </w:rPr>
        <w:t xml:space="preserve">11. Examenrelevantie</w:t>
      </w:r>
    </w:p>
    <w:p>
      <w:pPr>
        <w:spacing w:after="140" w:line="288"/>
      </w:pPr>
      <w:r>
        <w:rPr>
          <w:rFonts w:ascii="Calibri" w:cs="Calibri" w:eastAsia="Calibri" w:hAnsi="Calibri"/>
          <w:color w:val="0E1A1C"/>
          <w:sz w:val="21"/>
          <w:szCs w:val="21"/>
        </w:rPr>
        <w:t xml:space="preserve">Dit deel is samen met deel 4 de kern van de voorbereiding op het CDMP-specialistexamen Data Quality. De terminologie volgt de DAMA-DMBOK2 Revised Edition.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4"/>
        </w:numPr>
        <w:spacing w:after="70" w:line="280"/>
      </w:pPr>
      <w:r>
        <w:rPr>
          <w:rFonts w:ascii="Calibri" w:cs="Calibri" w:eastAsia="Calibri" w:hAnsi="Calibri"/>
          <w:color w:val="0E1A1C"/>
          <w:sz w:val="21"/>
          <w:szCs w:val="21"/>
        </w:rPr>
        <w:t xml:space="preserve">De kwaliteitscyclus en de rol van elke stap.</w:t>
      </w:r>
    </w:p>
    <w:p>
      <w:pPr>
        <w:pStyle w:val="ListParagraph"/>
        <w:numPr>
          <w:ilvl w:val="0"/>
          <w:numId w:val="4"/>
        </w:numPr>
        <w:spacing w:after="70" w:line="280"/>
      </w:pPr>
      <w:r>
        <w:rPr>
          <w:rFonts w:ascii="Calibri" w:cs="Calibri" w:eastAsia="Calibri" w:hAnsi="Calibri"/>
          <w:color w:val="0E1A1C"/>
          <w:sz w:val="21"/>
          <w:szCs w:val="21"/>
        </w:rPr>
        <w:t xml:space="preserve">Kwaliteitsdimensies toegepast in een meetplan, met normstelling afgeleid van het gebruik.</w:t>
      </w:r>
    </w:p>
    <w:p>
      <w:pPr>
        <w:pStyle w:val="ListParagraph"/>
        <w:numPr>
          <w:ilvl w:val="0"/>
          <w:numId w:val="4"/>
        </w:numPr>
        <w:spacing w:after="70" w:line="280"/>
      </w:pPr>
      <w:r>
        <w:rPr>
          <w:rFonts w:ascii="Calibri" w:cs="Calibri" w:eastAsia="Calibri" w:hAnsi="Calibri"/>
          <w:color w:val="0E1A1C"/>
          <w:sz w:val="21"/>
          <w:szCs w:val="21"/>
        </w:rPr>
        <w:t xml:space="preserve">Root cause analysis en het onderscheid tussen symptoom en oorzaak.</w:t>
      </w:r>
    </w:p>
    <w:p>
      <w:pPr>
        <w:pStyle w:val="ListParagraph"/>
        <w:numPr>
          <w:ilvl w:val="0"/>
          <w:numId w:val="4"/>
        </w:numPr>
        <w:spacing w:after="70" w:line="280"/>
      </w:pPr>
      <w:r>
        <w:rPr>
          <w:rFonts w:ascii="Calibri" w:cs="Calibri" w:eastAsia="Calibri" w:hAnsi="Calibri"/>
          <w:color w:val="0E1A1C"/>
          <w:sz w:val="21"/>
          <w:szCs w:val="21"/>
        </w:rPr>
        <w:t xml:space="preserve">Correctie versus preventie, en waarom beide nodig zijn.</w:t>
      </w:r>
    </w:p>
    <w:p>
      <w:pPr>
        <w:pStyle w:val="ListParagraph"/>
        <w:numPr>
          <w:ilvl w:val="0"/>
          <w:numId w:val="4"/>
        </w:numPr>
        <w:spacing w:after="70" w:line="280"/>
      </w:pPr>
      <w:r>
        <w:rPr>
          <w:rFonts w:ascii="Calibri" w:cs="Calibri" w:eastAsia="Calibri" w:hAnsi="Calibri"/>
          <w:color w:val="0E1A1C"/>
          <w:sz w:val="21"/>
          <w:szCs w:val="21"/>
        </w:rPr>
        <w:t xml:space="preserve">De relatie tussen datakwaliteit en governance: normen worden vastgesteld, niet bedacht.</w:t>
      </w:r>
    </w:p>
    <w:p>
      <w:pPr>
        <w:pStyle w:val="ListParagraph"/>
        <w:numPr>
          <w:ilvl w:val="0"/>
          <w:numId w:val="4"/>
        </w:numPr>
        <w:spacing w:after="70" w:line="280"/>
      </w:pPr>
      <w:r>
        <w:rPr>
          <w:rFonts w:ascii="Calibri" w:cs="Calibri" w:eastAsia="Calibri" w:hAnsi="Calibri"/>
          <w:color w:val="0E1A1C"/>
          <w:sz w:val="21"/>
          <w:szCs w:val="21"/>
        </w:rPr>
        <w:t xml:space="preserve">Engels: data quality dimension, business rule, threshold, remediation, root cause, data profiling, data contract, service level.</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data quality in de DAMA-DMBOK2 Revised Edition — tijdens het examen het enige toegestane hulpmiddel, in papier óf digitaal.</w:t>
            </w:r>
          </w:p>
          <w:p>
            <w:pPr>
              <w:spacing w:after="60" w:line="280"/>
            </w:pPr>
            <w:r>
              <w:rPr>
                <w:rFonts w:ascii="Calibri" w:cs="Calibri" w:eastAsia="Calibri" w:hAnsi="Calibri"/>
                <w:color w:val="0E1A1C"/>
                <w:sz w:val="20"/>
                <w:szCs w:val="20"/>
              </w:rPr>
              <w:t xml:space="preserve">Verdieping: Executing Data Quality Projects van Danette McGilvray, breed aanbevolen naast het DMBOK-hoofdstuk.</w:t>
            </w:r>
          </w:p>
          <w:p>
            <w:pPr>
              <w:spacing w:after="60" w:line="280"/>
            </w:pPr>
            <w:r>
              <w:rPr>
                <w:rFonts w:ascii="Calibri" w:cs="Calibri" w:eastAsia="Calibri" w:hAnsi="Calibri"/>
                <w:color w:val="0E1A1C"/>
                <w:sz w:val="20"/>
                <w:szCs w:val="20"/>
              </w:rPr>
              <w:t xml:space="preserve">Examenopzet en de actuele lijst met specialistexamens: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15 — Datakwaliteitsmanagement als proces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Datakwaliteitsmanagement als proces — Deelnemersreader</dc:title>
  <dc:creator>Ductus B.V.</dc:creator>
  <dc:description>Cursusmateriaal datamanagement, data-analyse en data governance</dc:description>
  <cp:lastModifiedBy>Un-named</cp:lastModifiedBy>
  <cp:revision>1</cp:revision>
  <dcterms:created xsi:type="dcterms:W3CDTF">2026-08-05T10:35:03.578Z</dcterms:created>
  <dcterms:modified xsi:type="dcterms:W3CDTF">2026-08-05T10:35:03.578Z</dcterms:modified>
</cp:coreProperties>
</file>

<file path=docProps/custom.xml><?xml version="1.0" encoding="utf-8"?>
<Properties xmlns="http://schemas.openxmlformats.org/officeDocument/2006/custom-properties" xmlns:vt="http://schemas.openxmlformats.org/officeDocument/2006/docPropsVTypes"/>
</file>