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16</w:t>
      </w:r>
    </w:p>
    <w:p>
      <w:pPr>
        <w:spacing w:after="120"/>
      </w:pPr>
      <w:r>
        <w:rPr>
          <w:rFonts w:ascii="Cambria" w:cs="Cambria" w:eastAsia="Cambria" w:hAnsi="Cambria"/>
          <w:b/>
          <w:bCs/>
          <w:color w:val="0E1A1C"/>
          <w:sz w:val="56"/>
          <w:szCs w:val="56"/>
        </w:rPr>
        <w:t xml:space="preserve">Data governance operating model</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 (twee dagdelen van 2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of modelleertool, reader en werkboek</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16 gelezen, inclusief de casusbeschrijving in hoofdstuk 14.</w:t>
      </w:r>
    </w:p>
    <w:p>
      <w:pPr>
        <w:pStyle w:val="ListParagraph"/>
        <w:numPr>
          <w:ilvl w:val="0"/>
          <w:numId w:val="2"/>
        </w:numPr>
        <w:spacing w:after="70" w:line="280"/>
      </w:pPr>
      <w:r>
        <w:rPr>
          <w:rFonts w:ascii="Calibri" w:cs="Calibri" w:eastAsia="Calibri" w:hAnsi="Calibri"/>
          <w:color w:val="0E1A1C"/>
          <w:sz w:val="21"/>
          <w:szCs w:val="21"/>
        </w:rPr>
        <w:t xml:space="preserve">Opdracht 1, 2 en 3 gemaakt. Vraag bij binnenkomst wie ze af heeft; met minder dan de helft verschuif je opdracht 4 en gebruik je het eerste half uur voor opdracht 3 in tweetallen.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Een modelleeromgeving of groot whiteboard per tweetal. BPMN en CMMN op papier werkt beter dan een tool die niemand kent.</w:t>
      </w:r>
    </w:p>
    <w:p>
      <w:pPr>
        <w:pStyle w:val="ListParagraph"/>
        <w:numPr>
          <w:ilvl w:val="0"/>
          <w:numId w:val="2"/>
        </w:numPr>
        <w:spacing w:after="70" w:line="280"/>
      </w:pPr>
      <w:r>
        <w:rPr>
          <w:rFonts w:ascii="Calibri" w:cs="Calibri" w:eastAsia="Calibri" w:hAnsi="Calibri"/>
          <w:color w:val="0E1A1C"/>
          <w:sz w:val="21"/>
          <w:szCs w:val="21"/>
        </w:rPr>
        <w:t xml:space="preserve">Vier geprinte exemplaren van de besluitrechtenmatrix uit de reader als terugvaloptie.</w:t>
      </w:r>
    </w:p>
    <w:p>
      <w:pPr>
        <w:pStyle w:val="ListParagraph"/>
        <w:numPr>
          <w:ilvl w:val="0"/>
          <w:numId w:val="2"/>
        </w:numPr>
        <w:spacing w:after="70" w:line="280"/>
      </w:pPr>
      <w:r>
        <w:rPr>
          <w:rFonts w:ascii="Calibri" w:cs="Calibri" w:eastAsia="Calibri" w:hAnsi="Calibri"/>
          <w:color w:val="0E1A1C"/>
          <w:sz w:val="21"/>
          <w:szCs w:val="21"/>
        </w:rPr>
        <w:t xml:space="preserve">Je eigen DMBOK2 zichtbaar op tafel — het modelleert het gedrag dat je bij het examen verwacht.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11 leverde het frameworkdenken en de volwassenheidsmeting; deel 15 leverde het kwaliteitsproces waarvan hier de besluitvorming wordt ingericht. Deel 16 is samen met deel 11 de kern van de voorbereiding op het CDMP-specialistexamen Data Governance. De opbrengst van dit deel — organenontwerp, besluitrechtenmatrix, adoptieplan — komt terug in de capstone van deel 21.</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de vergadertoets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drie deelnemers een orgaan uit hun eigen praktijk langs de toets leggen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0:20–0:50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Bespreking opdracht 1 t/m 3</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alle drie uitputtend; kies de matrix als zwaartepunt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0:50–1:40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BPMN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en tel gateways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1:40–2:00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Nabespreking BPMN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modellen op het bord, laat het verschil zien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CMMN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Grijp in zodra men een volgorde tekent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2:40–3:25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DMN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een expliciete hit policy af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3:25–3:45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Notatiekeuze: het overzicht</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Koppel terug naar de vuistregel uit de reader</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3:45–4:00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8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de expliciete aannames. Hieronder staat per opdracht wat een sterk antwoord bevat, waar het meestal misgaat, en welke vraag de discussie opent.</w:t>
      </w:r>
    </w:p>
    <w:p>
      <w:pPr>
        <w:pStyle w:val="Heading2"/>
        <w:spacing w:after="140" w:before="340"/>
      </w:pPr>
      <w:r>
        <w:rPr>
          <w:rFonts w:ascii="Cambria" w:cs="Cambria" w:eastAsia="Cambria" w:hAnsi="Cambria"/>
          <w:b/>
          <w:bCs/>
          <w:color w:val="0E1A1C"/>
          <w:sz w:val="26"/>
          <w:szCs w:val="26"/>
        </w:rPr>
        <w:t xml:space="preserve">Opdracht 1 — Mandaat en charter</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Herkenning dat de DNB-bevinding het sterkste maar meest vluchtige mandaat is: effectief zolang de bevinding openstaat, daarna weg.</w:t>
      </w:r>
    </w:p>
    <w:p>
      <w:pPr>
        <w:pStyle w:val="ListParagraph"/>
        <w:numPr>
          <w:ilvl w:val="0"/>
          <w:numId w:val="2"/>
        </w:numPr>
        <w:spacing w:after="70" w:line="280"/>
      </w:pPr>
      <w:r>
        <w:rPr>
          <w:rFonts w:ascii="Calibri" w:cs="Calibri" w:eastAsia="Calibri" w:hAnsi="Calibri"/>
          <w:color w:val="0E1A1C"/>
          <w:sz w:val="21"/>
          <w:szCs w:val="21"/>
        </w:rPr>
        <w:t xml:space="preserve">Een charter dat expliciet maakt wat de CDO níét beslist — anders belooft het meer dan 0,6 fte kan waarmaken.</w:t>
      </w:r>
    </w:p>
    <w:p>
      <w:pPr>
        <w:pStyle w:val="ListParagraph"/>
        <w:numPr>
          <w:ilvl w:val="0"/>
          <w:numId w:val="2"/>
        </w:numPr>
        <w:spacing w:after="70" w:line="280"/>
      </w:pPr>
      <w:r>
        <w:rPr>
          <w:rFonts w:ascii="Calibri" w:cs="Calibri" w:eastAsia="Calibri" w:hAnsi="Calibri"/>
          <w:color w:val="0E1A1C"/>
          <w:sz w:val="21"/>
          <w:szCs w:val="21"/>
        </w:rPr>
        <w:t xml:space="preserve">Scope-uitsluitingen die concreet zijn: het migratieprogramma zelf, informatiebeveiligingsmaatregelen, de rechtmatigheidstoets van verwerkingen.</w:t>
      </w:r>
    </w:p>
    <w:p>
      <w:pPr>
        <w:pStyle w:val="ListParagraph"/>
        <w:numPr>
          <w:ilvl w:val="0"/>
          <w:numId w:val="2"/>
        </w:numPr>
        <w:spacing w:after="70" w:line="280"/>
      </w:pPr>
      <w:r>
        <w:rPr>
          <w:rFonts w:ascii="Calibri" w:cs="Calibri" w:eastAsia="Calibri" w:hAnsi="Calibri"/>
          <w:color w:val="0E1A1C"/>
          <w:sz w:val="21"/>
          <w:szCs w:val="21"/>
        </w:rPr>
        <w:t xml:space="preserve">Afbakening geformuleerd in besluiten in plaats van onderwerpen.</w:t>
      </w:r>
    </w:p>
    <w:p>
      <w:pPr>
        <w:pStyle w:val="ListParagraph"/>
        <w:numPr>
          <w:ilvl w:val="0"/>
          <w:numId w:val="2"/>
        </w:numPr>
        <w:spacing w:after="70" w:line="280"/>
      </w:pPr>
      <w:r>
        <w:rPr>
          <w:rFonts w:ascii="Calibri" w:cs="Calibri" w:eastAsia="Calibri" w:hAnsi="Calibri"/>
          <w:color w:val="0E1A1C"/>
          <w:sz w:val="21"/>
          <w:szCs w:val="21"/>
        </w:rPr>
        <w:t xml:space="preserve">Een herzieningstermijn voor het charter zelf.</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Charter van vier pagina’s met missie, visie en kernwaarden. Stuur naar één A4 en naar bevoegdheden.</w:t>
      </w:r>
    </w:p>
    <w:p>
      <w:pPr>
        <w:pStyle w:val="ListParagraph"/>
        <w:numPr>
          <w:ilvl w:val="0"/>
          <w:numId w:val="2"/>
        </w:numPr>
        <w:spacing w:after="70" w:line="280"/>
      </w:pPr>
      <w:r>
        <w:rPr>
          <w:rFonts w:ascii="Calibri" w:cs="Calibri" w:eastAsia="Calibri" w:hAnsi="Calibri"/>
          <w:color w:val="0E1A1C"/>
          <w:sz w:val="21"/>
          <w:szCs w:val="21"/>
        </w:rPr>
        <w:t xml:space="preserve">Mandaat afleiden uit de aanstelling van de CDO. Een aanstelling is geen bevoegdheid.</w:t>
      </w:r>
    </w:p>
    <w:p>
      <w:pPr>
        <w:pStyle w:val="ListParagraph"/>
        <w:numPr>
          <w:ilvl w:val="0"/>
          <w:numId w:val="2"/>
        </w:numPr>
        <w:spacing w:after="70" w:line="280"/>
      </w:pPr>
      <w:r>
        <w:rPr>
          <w:rFonts w:ascii="Calibri" w:cs="Calibri" w:eastAsia="Calibri" w:hAnsi="Calibri"/>
          <w:color w:val="0E1A1C"/>
          <w:sz w:val="21"/>
          <w:szCs w:val="21"/>
        </w:rPr>
        <w:t xml:space="preserve">De DNB-bevinding als permanente basis nemen; vraag door op wat er gebeurt als de bevinding is afgesloten.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Stel dat DNB de bevinding morgen sluit. Welke zin in jouw charter houdt het mandaat dan overeind?</w:t>
            </w:r>
          </w:p>
        </w:tc>
      </w:tr>
    </w:tbl>
    <w:p>
      <w:pPr>
        <w:pStyle w:val="Heading2"/>
        <w:spacing w:after="140" w:before="340"/>
      </w:pPr>
      <w:r>
        <w:rPr>
          <w:rFonts w:ascii="Cambria" w:cs="Cambria" w:eastAsia="Cambria" w:hAnsi="Cambria"/>
          <w:b/>
          <w:bCs/>
          <w:color w:val="0E1A1C"/>
          <w:sz w:val="26"/>
          <w:szCs w:val="26"/>
        </w:rPr>
        <w:t xml:space="preserve">Opdracht 2 — Organenontwerp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Netto nul nieuwe overleggen: de vier bestaande domeinoverleggen krijgen besluitrecht en een uitgebreide agenda.</w:t>
      </w:r>
    </w:p>
    <w:p>
      <w:pPr>
        <w:pStyle w:val="ListParagraph"/>
        <w:numPr>
          <w:ilvl w:val="0"/>
          <w:numId w:val="2"/>
        </w:numPr>
        <w:spacing w:after="70" w:line="280"/>
      </w:pPr>
      <w:r>
        <w:rPr>
          <w:rFonts w:ascii="Calibri" w:cs="Calibri" w:eastAsia="Calibri" w:hAnsi="Calibri"/>
          <w:color w:val="0E1A1C"/>
          <w:sz w:val="21"/>
          <w:szCs w:val="21"/>
        </w:rPr>
        <w:t xml:space="preserve">De huidige adviserende Data Board wordt omgebouwd tot besluitvormende board op kwartaalritme, met een kleinere bezetting.</w:t>
      </w:r>
    </w:p>
    <w:p>
      <w:pPr>
        <w:pStyle w:val="ListParagraph"/>
        <w:numPr>
          <w:ilvl w:val="0"/>
          <w:numId w:val="2"/>
        </w:numPr>
        <w:spacing w:after="70" w:line="280"/>
      </w:pPr>
      <w:r>
        <w:rPr>
          <w:rFonts w:ascii="Calibri" w:cs="Calibri" w:eastAsia="Calibri" w:hAnsi="Calibri"/>
          <w:color w:val="0E1A1C"/>
          <w:sz w:val="21"/>
          <w:szCs w:val="21"/>
        </w:rPr>
        <w:t xml:space="preserve">Het stewardship-overleg wordt tweewekelijks en is het enige nieuwe ritme — verdedigbaar omdat het operationeel is en geen bestuurders kost.</w:t>
      </w:r>
    </w:p>
    <w:p>
      <w:pPr>
        <w:pStyle w:val="ListParagraph"/>
        <w:numPr>
          <w:ilvl w:val="0"/>
          <w:numId w:val="2"/>
        </w:numPr>
        <w:spacing w:after="70" w:line="280"/>
      </w:pPr>
      <w:r>
        <w:rPr>
          <w:rFonts w:ascii="Calibri" w:cs="Calibri" w:eastAsia="Calibri" w:hAnsi="Calibri"/>
          <w:color w:val="0E1A1C"/>
          <w:sz w:val="21"/>
          <w:szCs w:val="21"/>
        </w:rPr>
        <w:t xml:space="preserve">Per orgaan een benoemde agendabron, bijvoorbeeld: definitieaanvragen komen binnen bij de business steward van het domein.</w:t>
      </w:r>
    </w:p>
    <w:p>
      <w:pPr>
        <w:pStyle w:val="ListParagraph"/>
        <w:numPr>
          <w:ilvl w:val="0"/>
          <w:numId w:val="2"/>
        </w:numPr>
        <w:spacing w:after="70" w:line="280"/>
      </w:pPr>
      <w:r>
        <w:rPr>
          <w:rFonts w:ascii="Calibri" w:cs="Calibri" w:eastAsia="Calibri" w:hAnsi="Calibri"/>
          <w:color w:val="0E1A1C"/>
          <w:sz w:val="21"/>
          <w:szCs w:val="21"/>
        </w:rPr>
        <w:t xml:space="preserve">Expliciete delegatie omlaag, zodat de board niet volloopt.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nieuw "Data Governance Office" instellen. Toets dat aan de eis "geen nieuwe overlegstructuren".</w:t>
      </w:r>
    </w:p>
    <w:p>
      <w:pPr>
        <w:pStyle w:val="ListParagraph"/>
        <w:numPr>
          <w:ilvl w:val="0"/>
          <w:numId w:val="2"/>
        </w:numPr>
        <w:spacing w:after="70" w:line="280"/>
      </w:pPr>
      <w:r>
        <w:rPr>
          <w:rFonts w:ascii="Calibri" w:cs="Calibri" w:eastAsia="Calibri" w:hAnsi="Calibri"/>
          <w:color w:val="0E1A1C"/>
          <w:sz w:val="21"/>
          <w:szCs w:val="21"/>
        </w:rPr>
        <w:t xml:space="preserve">De Data Board maandelijks laten doorvergaderen. Vraag naar de opkomstcijfers uit de casus.</w:t>
      </w:r>
    </w:p>
    <w:p>
      <w:pPr>
        <w:pStyle w:val="ListParagraph"/>
        <w:numPr>
          <w:ilvl w:val="0"/>
          <w:numId w:val="2"/>
        </w:numPr>
        <w:spacing w:after="70" w:line="280"/>
      </w:pPr>
      <w:r>
        <w:rPr>
          <w:rFonts w:ascii="Calibri" w:cs="Calibri" w:eastAsia="Calibri" w:hAnsi="Calibri"/>
          <w:color w:val="0E1A1C"/>
          <w:sz w:val="21"/>
          <w:szCs w:val="21"/>
        </w:rPr>
        <w:t xml:space="preserve">Vijf of zes organen ontwerpen voor vier domeinen en zeven besluittypen.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orgaan in jouw ontwerp zou over een half jaar als eerste stilvallen, en wat houdt het in leven?</w:t>
            </w:r>
          </w:p>
        </w:tc>
      </w:tr>
    </w:tbl>
    <w:p>
      <w:pPr>
        <w:pStyle w:val="Heading2"/>
        <w:spacing w:after="140" w:before="340"/>
      </w:pPr>
      <w:r>
        <w:rPr>
          <w:rFonts w:ascii="Cambria" w:cs="Cambria" w:eastAsia="Cambria" w:hAnsi="Cambria"/>
          <w:b/>
          <w:bCs/>
          <w:color w:val="0E1A1C"/>
          <w:sz w:val="26"/>
          <w:szCs w:val="26"/>
        </w:rPr>
        <w:t xml:space="preserve">Opdracht 3 — Besluitrechtenmatrix</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Definitiebesluiten bij de domeinraad, niet bij de board — anders duurt de "actieve deelnemer"-discussie een kwartaal.</w:t>
      </w:r>
    </w:p>
    <w:p>
      <w:pPr>
        <w:pStyle w:val="ListParagraph"/>
        <w:numPr>
          <w:ilvl w:val="0"/>
          <w:numId w:val="2"/>
        </w:numPr>
        <w:spacing w:after="70" w:line="280"/>
      </w:pPr>
      <w:r>
        <w:rPr>
          <w:rFonts w:ascii="Calibri" w:cs="Calibri" w:eastAsia="Calibri" w:hAnsi="Calibri"/>
          <w:color w:val="0E1A1C"/>
          <w:sz w:val="21"/>
          <w:szCs w:val="21"/>
        </w:rPr>
        <w:t xml:space="preserve">Toegangsbesluiten bij de data owner met een korte termijn, vijf werkdagen of minder; hier ontstaat anders schaduwbeleid.</w:t>
      </w:r>
    </w:p>
    <w:p>
      <w:pPr>
        <w:pStyle w:val="ListParagraph"/>
        <w:numPr>
          <w:ilvl w:val="0"/>
          <w:numId w:val="2"/>
        </w:numPr>
        <w:spacing w:after="70" w:line="280"/>
      </w:pPr>
      <w:r>
        <w:rPr>
          <w:rFonts w:ascii="Calibri" w:cs="Calibri" w:eastAsia="Calibri" w:hAnsi="Calibri"/>
          <w:color w:val="0E1A1C"/>
          <w:sz w:val="21"/>
          <w:szCs w:val="21"/>
        </w:rPr>
        <w:t xml:space="preserve">Waivers gesplitst naar risiconiveau, zodat niet elke uitzondering bestuurlijk wordt.</w:t>
      </w:r>
    </w:p>
    <w:p>
      <w:pPr>
        <w:pStyle w:val="ListParagraph"/>
        <w:numPr>
          <w:ilvl w:val="0"/>
          <w:numId w:val="2"/>
        </w:numPr>
        <w:spacing w:after="70" w:line="280"/>
      </w:pPr>
      <w:r>
        <w:rPr>
          <w:rFonts w:ascii="Calibri" w:cs="Calibri" w:eastAsia="Calibri" w:hAnsi="Calibri"/>
          <w:color w:val="0E1A1C"/>
          <w:sz w:val="21"/>
          <w:szCs w:val="21"/>
        </w:rPr>
        <w:t xml:space="preserve">Precies één A per rij, ook waar dat ongemakkelijk voelt.</w:t>
      </w:r>
    </w:p>
    <w:p>
      <w:pPr>
        <w:pStyle w:val="ListParagraph"/>
        <w:numPr>
          <w:ilvl w:val="0"/>
          <w:numId w:val="2"/>
        </w:numPr>
        <w:spacing w:after="70" w:line="280"/>
      </w:pPr>
      <w:r>
        <w:rPr>
          <w:rFonts w:ascii="Calibri" w:cs="Calibri" w:eastAsia="Calibri" w:hAnsi="Calibri"/>
          <w:color w:val="0E1A1C"/>
          <w:sz w:val="21"/>
          <w:szCs w:val="21"/>
        </w:rPr>
        <w:t xml:space="preserve">Een doorrekening van de definitiediscussie: aanvraag, impactanalyse, besluit, publicatie — realistisch drie tot zes weken.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zeven besluiten bij de board. Wijs op het risico van een bottleneck en op de DNB-termijn.</w:t>
      </w:r>
    </w:p>
    <w:p>
      <w:pPr>
        <w:pStyle w:val="ListParagraph"/>
        <w:numPr>
          <w:ilvl w:val="0"/>
          <w:numId w:val="2"/>
        </w:numPr>
        <w:spacing w:after="70" w:line="280"/>
      </w:pPr>
      <w:r>
        <w:rPr>
          <w:rFonts w:ascii="Calibri" w:cs="Calibri" w:eastAsia="Calibri" w:hAnsi="Calibri"/>
          <w:color w:val="0E1A1C"/>
          <w:sz w:val="21"/>
          <w:szCs w:val="21"/>
        </w:rPr>
        <w:t xml:space="preserve">Termijnen invullen zonder onderbouwing. Vraag waar de vijftien werkdagen vandaan komen.</w:t>
      </w:r>
    </w:p>
    <w:p>
      <w:pPr>
        <w:pStyle w:val="ListParagraph"/>
        <w:numPr>
          <w:ilvl w:val="0"/>
          <w:numId w:val="2"/>
        </w:numPr>
        <w:spacing w:after="70" w:line="280"/>
      </w:pPr>
      <w:r>
        <w:rPr>
          <w:rFonts w:ascii="Calibri" w:cs="Calibri" w:eastAsia="Calibri" w:hAnsi="Calibri"/>
          <w:color w:val="0E1A1C"/>
          <w:sz w:val="21"/>
          <w:szCs w:val="21"/>
        </w:rPr>
        <w:t xml:space="preserve">De informatieplicht overslaan. Wie niet weet dat een definitie is gewijzigd, blijft de oude rapporteren.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Als jouw matrix klopt, hoe lang duurt het dan tot Meridiaan één definitie van "actieve deelnemer" heeft? Haalt dat de DNB-termijn?</w:t>
            </w:r>
          </w:p>
        </w:tc>
      </w:tr>
    </w:tbl>
    <w:p>
      <w:pPr>
        <w:pStyle w:val="Heading2"/>
        <w:spacing w:after="140" w:before="340"/>
      </w:pPr>
      <w:r>
        <w:rPr>
          <w:rFonts w:ascii="Cambria" w:cs="Cambria" w:eastAsia="Cambria" w:hAnsi="Cambria"/>
          <w:b/>
          <w:bCs/>
          <w:color w:val="0E1A1C"/>
          <w:sz w:val="26"/>
          <w:szCs w:val="26"/>
        </w:rPr>
        <w:t xml:space="preserve">Opdracht 4 — BPMN — begripswijziging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Lanes voor aanvrager, business steward, technical steward, domeinraad en catalogusbeheer.</w:t>
      </w:r>
    </w:p>
    <w:p>
      <w:pPr>
        <w:pStyle w:val="ListParagraph"/>
        <w:numPr>
          <w:ilvl w:val="0"/>
          <w:numId w:val="2"/>
        </w:numPr>
        <w:spacing w:after="70" w:line="280"/>
      </w:pPr>
      <w:r>
        <w:rPr>
          <w:rFonts w:ascii="Calibri" w:cs="Calibri" w:eastAsia="Calibri" w:hAnsi="Calibri"/>
          <w:color w:val="0E1A1C"/>
          <w:sz w:val="21"/>
          <w:szCs w:val="21"/>
        </w:rPr>
        <w:t xml:space="preserve">Impactanalyse als expliciete taak met een eigen uitkomst, niet verstopt in "beoordelen".</w:t>
      </w:r>
    </w:p>
    <w:p>
      <w:pPr>
        <w:pStyle w:val="ListParagraph"/>
        <w:numPr>
          <w:ilvl w:val="0"/>
          <w:numId w:val="2"/>
        </w:numPr>
        <w:spacing w:after="70" w:line="280"/>
      </w:pPr>
      <w:r>
        <w:rPr>
          <w:rFonts w:ascii="Calibri" w:cs="Calibri" w:eastAsia="Calibri" w:hAnsi="Calibri"/>
          <w:color w:val="0E1A1C"/>
          <w:sz w:val="21"/>
          <w:szCs w:val="21"/>
        </w:rPr>
        <w:t xml:space="preserve">Zowel de akkoord- als de afwijzingsroute, beide met terugkoppeling aan de aanvrager.</w:t>
      </w:r>
    </w:p>
    <w:p>
      <w:pPr>
        <w:pStyle w:val="ListParagraph"/>
        <w:numPr>
          <w:ilvl w:val="0"/>
          <w:numId w:val="2"/>
        </w:numPr>
        <w:spacing w:after="70" w:line="280"/>
      </w:pPr>
      <w:r>
        <w:rPr>
          <w:rFonts w:ascii="Calibri" w:cs="Calibri" w:eastAsia="Calibri" w:hAnsi="Calibri"/>
          <w:color w:val="0E1A1C"/>
          <w:sz w:val="21"/>
          <w:szCs w:val="21"/>
        </w:rPr>
        <w:t xml:space="preserve">Publicatie in de catalogus, communicatie aan bekende afnemers en vastlegging van versie en ingangsdatum als afzonderlijke stappen.</w:t>
      </w:r>
    </w:p>
    <w:p>
      <w:pPr>
        <w:pStyle w:val="ListParagraph"/>
        <w:numPr>
          <w:ilvl w:val="0"/>
          <w:numId w:val="2"/>
        </w:numPr>
        <w:spacing w:after="70" w:line="280"/>
      </w:pPr>
      <w:r>
        <w:rPr>
          <w:rFonts w:ascii="Calibri" w:cs="Calibri" w:eastAsia="Calibri" w:hAnsi="Calibri"/>
          <w:color w:val="0E1A1C"/>
          <w:sz w:val="21"/>
          <w:szCs w:val="21"/>
        </w:rPr>
        <w:t xml:space="preserve">Hooguit twee of drie exclusieve gateways; meer betekent dat er beslislogica in het proces zit.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proces eindigt bij "besluit genomen". Vraag wie dan de rapportagebouwer inlicht.</w:t>
      </w:r>
    </w:p>
    <w:p>
      <w:pPr>
        <w:pStyle w:val="ListParagraph"/>
        <w:numPr>
          <w:ilvl w:val="0"/>
          <w:numId w:val="2"/>
        </w:numPr>
        <w:spacing w:after="70" w:line="280"/>
      </w:pPr>
      <w:r>
        <w:rPr>
          <w:rFonts w:ascii="Calibri" w:cs="Calibri" w:eastAsia="Calibri" w:hAnsi="Calibri"/>
          <w:color w:val="0E1A1C"/>
          <w:sz w:val="21"/>
          <w:szCs w:val="21"/>
        </w:rPr>
        <w:t xml:space="preserve">De afwijzingsroute ontbreekt. Dat is precies de route die het vertrouwen in de inrichting bepaalt.</w:t>
      </w:r>
    </w:p>
    <w:p>
      <w:pPr>
        <w:pStyle w:val="ListParagraph"/>
        <w:numPr>
          <w:ilvl w:val="0"/>
          <w:numId w:val="2"/>
        </w:numPr>
        <w:spacing w:after="70" w:line="280"/>
      </w:pPr>
      <w:r>
        <w:rPr>
          <w:rFonts w:ascii="Calibri" w:cs="Calibri" w:eastAsia="Calibri" w:hAnsi="Calibri"/>
          <w:color w:val="0E1A1C"/>
          <w:sz w:val="21"/>
          <w:szCs w:val="21"/>
        </w:rPr>
        <w:t xml:space="preserve">Taken en besluiten door elkaar: een gateway per criterium in plaats van één beslistaak.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stap schrap je als de doorlooptijd van zes naar drie weken moet? En wat kost dat?</w:t>
            </w:r>
          </w:p>
        </w:tc>
      </w:tr>
    </w:tbl>
    <w:p>
      <w:pPr>
        <w:pStyle w:val="Heading2"/>
        <w:spacing w:after="140" w:before="340"/>
      </w:pPr>
      <w:r>
        <w:rPr>
          <w:rFonts w:ascii="Cambria" w:cs="Cambria" w:eastAsia="Cambria" w:hAnsi="Cambria"/>
          <w:b/>
          <w:bCs/>
          <w:color w:val="0E1A1C"/>
          <w:sz w:val="26"/>
          <w:szCs w:val="26"/>
        </w:rPr>
        <w:t xml:space="preserve">Opdracht 5 — CMMN — kwaliteitsincident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Case file met melding, betrokken data-elementen, gemelde afwijking en eerste inschatting van impact.</w:t>
      </w:r>
    </w:p>
    <w:p>
      <w:pPr>
        <w:pStyle w:val="ListParagraph"/>
        <w:numPr>
          <w:ilvl w:val="0"/>
          <w:numId w:val="2"/>
        </w:numPr>
        <w:spacing w:after="70" w:line="280"/>
      </w:pPr>
      <w:r>
        <w:rPr>
          <w:rFonts w:ascii="Calibri" w:cs="Calibri" w:eastAsia="Calibri" w:hAnsi="Calibri"/>
          <w:color w:val="0E1A1C"/>
          <w:sz w:val="21"/>
          <w:szCs w:val="21"/>
        </w:rPr>
        <w:t xml:space="preserve">Verplichte taken: impactbepaling en afsluitende vastlegging. Discretionair: profiling, bronanalyse, ketengesprek, definitie-review.</w:t>
      </w:r>
    </w:p>
    <w:p>
      <w:pPr>
        <w:pStyle w:val="ListParagraph"/>
        <w:numPr>
          <w:ilvl w:val="0"/>
          <w:numId w:val="2"/>
        </w:numPr>
        <w:spacing w:after="70" w:line="280"/>
      </w:pPr>
      <w:r>
        <w:rPr>
          <w:rFonts w:ascii="Calibri" w:cs="Calibri" w:eastAsia="Calibri" w:hAnsi="Calibri"/>
          <w:color w:val="0E1A1C"/>
          <w:sz w:val="21"/>
          <w:szCs w:val="21"/>
        </w:rPr>
        <w:t xml:space="preserve">Mijlpalen: impact bepaald, oorzaak vastgesteld, herstel uitgevoerd, structurele maatregel belegd.</w:t>
      </w:r>
    </w:p>
    <w:p>
      <w:pPr>
        <w:pStyle w:val="ListParagraph"/>
        <w:numPr>
          <w:ilvl w:val="0"/>
          <w:numId w:val="2"/>
        </w:numPr>
        <w:spacing w:after="70" w:line="280"/>
      </w:pPr>
      <w:r>
        <w:rPr>
          <w:rFonts w:ascii="Calibri" w:cs="Calibri" w:eastAsia="Calibri" w:hAnsi="Calibri"/>
          <w:color w:val="0E1A1C"/>
          <w:sz w:val="21"/>
          <w:szCs w:val="21"/>
        </w:rPr>
        <w:t xml:space="preserve">Sentries die werken, bijvoorbeeld: zodra de oorzaak in een bronsysteem ligt, wordt het ketengesprek beschikbaar.</w:t>
      </w:r>
    </w:p>
    <w:p>
      <w:pPr>
        <w:pStyle w:val="ListParagraph"/>
        <w:numPr>
          <w:ilvl w:val="0"/>
          <w:numId w:val="2"/>
        </w:numPr>
        <w:spacing w:after="70" w:line="280"/>
      </w:pPr>
      <w:r>
        <w:rPr>
          <w:rFonts w:ascii="Calibri" w:cs="Calibri" w:eastAsia="Calibri" w:hAnsi="Calibri"/>
          <w:color w:val="0E1A1C"/>
          <w:sz w:val="21"/>
          <w:szCs w:val="21"/>
        </w:rPr>
        <w:t xml:space="preserve">Sluiting door de data owner, niet door de behandelaar zelf.</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volgorde tekenen. Grijp meteen in: als de volgorde vaststaat, is het BPMN en klopt de casuskeuze niet.</w:t>
      </w:r>
    </w:p>
    <w:p>
      <w:pPr>
        <w:pStyle w:val="ListParagraph"/>
        <w:numPr>
          <w:ilvl w:val="0"/>
          <w:numId w:val="2"/>
        </w:numPr>
        <w:spacing w:after="70" w:line="280"/>
      </w:pPr>
      <w:r>
        <w:rPr>
          <w:rFonts w:ascii="Calibri" w:cs="Calibri" w:eastAsia="Calibri" w:hAnsi="Calibri"/>
          <w:color w:val="0E1A1C"/>
          <w:sz w:val="21"/>
          <w:szCs w:val="21"/>
        </w:rPr>
        <w:t xml:space="preserve">Alle taken verplicht maken. Dan is de discretie weg en had CMMN geen meerwaarde.</w:t>
      </w:r>
    </w:p>
    <w:p>
      <w:pPr>
        <w:pStyle w:val="ListParagraph"/>
        <w:numPr>
          <w:ilvl w:val="0"/>
          <w:numId w:val="2"/>
        </w:numPr>
        <w:spacing w:after="70" w:line="280"/>
      </w:pPr>
      <w:r>
        <w:rPr>
          <w:rFonts w:ascii="Calibri" w:cs="Calibri" w:eastAsia="Calibri" w:hAnsi="Calibri"/>
          <w:color w:val="0E1A1C"/>
          <w:sz w:val="21"/>
          <w:szCs w:val="21"/>
        </w:rPr>
        <w:t xml:space="preserve">Mijlpalen die eigenlijk taken zijn — "profiling uitvoeren" is geen mijlpaal, "oorzaak vastgesteld" wel.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Noem een incident uit je eigen praktijk waarbij de aanpak halverwege omging. Welke sentry had dat kunnen vangen?</w:t>
            </w:r>
          </w:p>
        </w:tc>
      </w:tr>
    </w:tbl>
    <w:p>
      <w:pPr>
        <w:pStyle w:val="Heading2"/>
        <w:spacing w:after="140" w:before="340"/>
      </w:pPr>
      <w:r>
        <w:rPr>
          <w:rFonts w:ascii="Cambria" w:cs="Cambria" w:eastAsia="Cambria" w:hAnsi="Cambria"/>
          <w:b/>
          <w:bCs/>
          <w:color w:val="0E1A1C"/>
          <w:sz w:val="26"/>
          <w:szCs w:val="26"/>
        </w:rPr>
        <w:t xml:space="preserve">Opdracht 6 — DMN — classificatiebeslissing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vijfde invoervariabele die past bij een pensioenuitvoerder: arbeidsongeschiktheidsgegevens, scheidings- of nabestaandengegevens, of gegevens van minderjarige begunstigden.</w:t>
      </w:r>
    </w:p>
    <w:p>
      <w:pPr>
        <w:pStyle w:val="ListParagraph"/>
        <w:numPr>
          <w:ilvl w:val="0"/>
          <w:numId w:val="2"/>
        </w:numPr>
        <w:spacing w:after="70" w:line="280"/>
      </w:pPr>
      <w:r>
        <w:rPr>
          <w:rFonts w:ascii="Calibri" w:cs="Calibri" w:eastAsia="Calibri" w:hAnsi="Calibri"/>
          <w:color w:val="0E1A1C"/>
          <w:sz w:val="21"/>
          <w:szCs w:val="21"/>
        </w:rPr>
        <w:t xml:space="preserve">Uitvoer met twee kolommen: classificatie én toegangsregime, zodat de tabel direct bruikbaar is.</w:t>
      </w:r>
    </w:p>
    <w:p>
      <w:pPr>
        <w:pStyle w:val="ListParagraph"/>
        <w:numPr>
          <w:ilvl w:val="0"/>
          <w:numId w:val="2"/>
        </w:numPr>
        <w:spacing w:after="70" w:line="280"/>
      </w:pPr>
      <w:r>
        <w:rPr>
          <w:rFonts w:ascii="Calibri" w:cs="Calibri" w:eastAsia="Calibri" w:hAnsi="Calibri"/>
          <w:color w:val="0E1A1C"/>
          <w:sz w:val="21"/>
          <w:szCs w:val="21"/>
        </w:rPr>
        <w:t xml:space="preserve">Hit policy Unique met een expliciete verantwoording, of First met een verantwoording waarom volgorde hier acceptabel is.</w:t>
      </w:r>
    </w:p>
    <w:p>
      <w:pPr>
        <w:pStyle w:val="ListParagraph"/>
        <w:numPr>
          <w:ilvl w:val="0"/>
          <w:numId w:val="2"/>
        </w:numPr>
        <w:spacing w:after="70" w:line="280"/>
      </w:pPr>
      <w:r>
        <w:rPr>
          <w:rFonts w:ascii="Calibri" w:cs="Calibri" w:eastAsia="Calibri" w:hAnsi="Calibri"/>
          <w:color w:val="0E1A1C"/>
          <w:sz w:val="21"/>
          <w:szCs w:val="21"/>
        </w:rPr>
        <w:t xml:space="preserve">Een notitie over niet-afgedekte combinaties in plaats van een schijnbaar volledige tabel.</w:t>
      </w:r>
    </w:p>
    <w:p>
      <w:pPr>
        <w:pStyle w:val="ListParagraph"/>
        <w:numPr>
          <w:ilvl w:val="0"/>
          <w:numId w:val="2"/>
        </w:numPr>
        <w:spacing w:after="70" w:line="280"/>
      </w:pPr>
      <w:r>
        <w:rPr>
          <w:rFonts w:ascii="Calibri" w:cs="Calibri" w:eastAsia="Calibri" w:hAnsi="Calibri"/>
          <w:color w:val="0E1A1C"/>
          <w:sz w:val="21"/>
          <w:szCs w:val="21"/>
        </w:rPr>
        <w:t xml:space="preserve">Aanroep vanuit een beslistaak in het BPMN-model van opdracht 4 of in het onboardingproces van nieuwe datasets.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Geen hit policy benoemen. Dwing de keuze af; hij bepaalt of overlap een fout of een feature is.</w:t>
      </w:r>
    </w:p>
    <w:p>
      <w:pPr>
        <w:pStyle w:val="ListParagraph"/>
        <w:numPr>
          <w:ilvl w:val="0"/>
          <w:numId w:val="2"/>
        </w:numPr>
        <w:spacing w:after="70" w:line="280"/>
      </w:pPr>
      <w:r>
        <w:rPr>
          <w:rFonts w:ascii="Calibri" w:cs="Calibri" w:eastAsia="Calibri" w:hAnsi="Calibri"/>
          <w:color w:val="0E1A1C"/>
          <w:sz w:val="21"/>
          <w:szCs w:val="21"/>
        </w:rPr>
        <w:t xml:space="preserve">Tien of meer regels doordat elke uitzondering een eigen rij krijgt. Vraag welke invoervariabele ontbreekt.</w:t>
      </w:r>
    </w:p>
    <w:p>
      <w:pPr>
        <w:pStyle w:val="ListParagraph"/>
        <w:numPr>
          <w:ilvl w:val="0"/>
          <w:numId w:val="2"/>
        </w:numPr>
        <w:spacing w:after="70" w:line="280"/>
      </w:pPr>
      <w:r>
        <w:rPr>
          <w:rFonts w:ascii="Calibri" w:cs="Calibri" w:eastAsia="Calibri" w:hAnsi="Calibri"/>
          <w:color w:val="0E1A1C"/>
          <w:sz w:val="21"/>
          <w:szCs w:val="21"/>
        </w:rPr>
        <w:t xml:space="preserve">Toegangsregime weglaten, waardoor de classificatie geen gevolg heeft.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in jouw tabel met een dataset waarvan de inhoud pas na verrijking bijzondere gegevens bevat?</w:t>
            </w:r>
          </w:p>
        </w:tc>
      </w:tr>
    </w:tbl>
    <w:p>
      <w:pPr>
        <w:pStyle w:val="Heading2"/>
        <w:spacing w:after="140" w:before="340"/>
      </w:pPr>
      <w:r>
        <w:rPr>
          <w:rFonts w:ascii="Cambria" w:cs="Cambria" w:eastAsia="Cambria" w:hAnsi="Cambria"/>
          <w:b/>
          <w:bCs/>
          <w:color w:val="0E1A1C"/>
          <w:sz w:val="26"/>
          <w:szCs w:val="26"/>
        </w:rPr>
        <w:t xml:space="preserve">Opdracht 7 — Inrichtingsmodel</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Federatief met stevige centrale normstelling is het verwachte antwoord — maar de score op de criteria moet dat dragen.</w:t>
      </w:r>
    </w:p>
    <w:p>
      <w:pPr>
        <w:pStyle w:val="ListParagraph"/>
        <w:numPr>
          <w:ilvl w:val="0"/>
          <w:numId w:val="2"/>
        </w:numPr>
        <w:spacing w:after="70" w:line="280"/>
      </w:pPr>
      <w:r>
        <w:rPr>
          <w:rFonts w:ascii="Calibri" w:cs="Calibri" w:eastAsia="Calibri" w:hAnsi="Calibri"/>
          <w:color w:val="0E1A1C"/>
          <w:sz w:val="21"/>
          <w:szCs w:val="21"/>
        </w:rPr>
        <w:t xml:space="preserve">Erkenning dat de volwassenheid laag is, wat tijdelijk zwaarder centraal pleit; hub-and-spoke als groeipad is een sterk antwoord.</w:t>
      </w:r>
    </w:p>
    <w:p>
      <w:pPr>
        <w:pStyle w:val="ListParagraph"/>
        <w:numPr>
          <w:ilvl w:val="0"/>
          <w:numId w:val="2"/>
        </w:numPr>
        <w:spacing w:after="70" w:line="280"/>
      </w:pPr>
      <w:r>
        <w:rPr>
          <w:rFonts w:ascii="Calibri" w:cs="Calibri" w:eastAsia="Calibri" w:hAnsi="Calibri"/>
          <w:color w:val="0E1A1C"/>
          <w:sz w:val="21"/>
          <w:szCs w:val="21"/>
        </w:rPr>
        <w:t xml:space="preserve">Het grootste risico benoemd: onduidelijkheid over wat centraal is, met als maatregel een expliciete lijst van centraal vastgestelde normen.</w:t>
      </w:r>
    </w:p>
    <w:p>
      <w:pPr>
        <w:pStyle w:val="ListParagraph"/>
        <w:numPr>
          <w:ilvl w:val="0"/>
          <w:numId w:val="2"/>
        </w:numPr>
        <w:spacing w:after="70" w:line="280"/>
      </w:pPr>
      <w:r>
        <w:rPr>
          <w:rFonts w:ascii="Calibri" w:cs="Calibri" w:eastAsia="Calibri" w:hAnsi="Calibri"/>
          <w:color w:val="0E1A1C"/>
          <w:sz w:val="21"/>
          <w:szCs w:val="21"/>
        </w:rPr>
        <w:t xml:space="preserve">Een blik op de situatie na de migratie, waarin het accent verder naar de domeinen kan verschuiven.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model kiezen en pas daarna de criteria erbij zoeken. Dat is te horen aan de volgorde in de notitie.</w:t>
      </w:r>
    </w:p>
    <w:p>
      <w:pPr>
        <w:pStyle w:val="ListParagraph"/>
        <w:numPr>
          <w:ilvl w:val="0"/>
          <w:numId w:val="2"/>
        </w:numPr>
        <w:spacing w:after="70" w:line="280"/>
      </w:pPr>
      <w:r>
        <w:rPr>
          <w:rFonts w:ascii="Calibri" w:cs="Calibri" w:eastAsia="Calibri" w:hAnsi="Calibri"/>
          <w:color w:val="0E1A1C"/>
          <w:sz w:val="21"/>
          <w:szCs w:val="21"/>
        </w:rPr>
        <w:t xml:space="preserve">Decentraal kiezen omdat het modern klinkt. Confronteer met de vier definities van "actieve deelnemer".</w:t>
      </w:r>
    </w:p>
    <w:p>
      <w:pPr>
        <w:pStyle w:val="ListParagraph"/>
        <w:numPr>
          <w:ilvl w:val="0"/>
          <w:numId w:val="2"/>
        </w:numPr>
        <w:spacing w:after="70" w:line="280"/>
      </w:pPr>
      <w:r>
        <w:rPr>
          <w:rFonts w:ascii="Calibri" w:cs="Calibri" w:eastAsia="Calibri" w:hAnsi="Calibri"/>
          <w:color w:val="0E1A1C"/>
          <w:sz w:val="21"/>
          <w:szCs w:val="21"/>
        </w:rPr>
        <w:t xml:space="preserve">Meer dan 300 woorden. De beperking is de oefening.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Verdedig je keuze tegenover een domeindirecteur die vindt dat hij dit prima zelf kan.</w:t>
            </w:r>
          </w:p>
        </w:tc>
      </w:tr>
    </w:tbl>
    <w:p>
      <w:pPr>
        <w:pStyle w:val="Heading2"/>
        <w:spacing w:after="140" w:before="340"/>
      </w:pPr>
      <w:r>
        <w:rPr>
          <w:rFonts w:ascii="Cambria" w:cs="Cambria" w:eastAsia="Cambria" w:hAnsi="Cambria"/>
          <w:b/>
          <w:bCs/>
          <w:color w:val="0E1A1C"/>
          <w:sz w:val="26"/>
          <w:szCs w:val="26"/>
        </w:rPr>
        <w:t xml:space="preserve">Opdracht 8 — Adoptieplan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Zichtbare winst die de DNB-bevinding raakt: één vastgestelde definitie van "actieve deelnemer" met aantoonbare doorwerking in de drie rapportages.</w:t>
      </w:r>
    </w:p>
    <w:p>
      <w:pPr>
        <w:pStyle w:val="ListParagraph"/>
        <w:numPr>
          <w:ilvl w:val="0"/>
          <w:numId w:val="2"/>
        </w:numPr>
        <w:spacing w:after="70" w:line="280"/>
      </w:pPr>
      <w:r>
        <w:rPr>
          <w:rFonts w:ascii="Calibri" w:cs="Calibri" w:eastAsia="Calibri" w:hAnsi="Calibri"/>
          <w:color w:val="0E1A1C"/>
          <w:sz w:val="21"/>
          <w:szCs w:val="21"/>
        </w:rPr>
        <w:t xml:space="preserve">Stewardrollen met een concreet aantal uren, opgenomen in het functieprofiel, met akkoord van de leidinggevende als voorwaarde.</w:t>
      </w:r>
    </w:p>
    <w:p>
      <w:pPr>
        <w:pStyle w:val="ListParagraph"/>
        <w:numPr>
          <w:ilvl w:val="0"/>
          <w:numId w:val="2"/>
        </w:numPr>
        <w:spacing w:after="70" w:line="280"/>
      </w:pPr>
      <w:r>
        <w:rPr>
          <w:rFonts w:ascii="Calibri" w:cs="Calibri" w:eastAsia="Calibri" w:hAnsi="Calibri"/>
          <w:color w:val="0E1A1C"/>
          <w:sz w:val="21"/>
          <w:szCs w:val="21"/>
        </w:rPr>
        <w:t xml:space="preserve">Maximaal zes KPI’s, waarvan minstens één uitkomstmaat en geen enkele die activiteit meet.</w:t>
      </w:r>
    </w:p>
    <w:p>
      <w:pPr>
        <w:pStyle w:val="ListParagraph"/>
        <w:numPr>
          <w:ilvl w:val="0"/>
          <w:numId w:val="2"/>
        </w:numPr>
        <w:spacing w:after="70" w:line="280"/>
      </w:pPr>
      <w:r>
        <w:rPr>
          <w:rFonts w:ascii="Calibri" w:cs="Calibri" w:eastAsia="Calibri" w:hAnsi="Calibri"/>
          <w:color w:val="0E1A1C"/>
          <w:sz w:val="21"/>
          <w:szCs w:val="21"/>
        </w:rPr>
        <w:t xml:space="preserve">Weerstandpatronen benoemd met een antwoord dat naar de besluitrechtenmatrix verwijst in plaats van naar overtuigingskracht.</w:t>
      </w:r>
    </w:p>
    <w:p>
      <w:pPr>
        <w:pStyle w:val="ListParagraph"/>
        <w:numPr>
          <w:ilvl w:val="0"/>
          <w:numId w:val="2"/>
        </w:numPr>
        <w:spacing w:after="70" w:line="280"/>
      </w:pPr>
      <w:r>
        <w:rPr>
          <w:rFonts w:ascii="Calibri" w:cs="Calibri" w:eastAsia="Calibri" w:hAnsi="Calibri"/>
          <w:color w:val="0E1A1C"/>
          <w:sz w:val="21"/>
          <w:szCs w:val="21"/>
        </w:rPr>
        <w:t xml:space="preserve">Een eerste kwartaalrapportage die past op één pagina.</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communicatieplan in plaats van een adoptieplan. Vraag wat er in gedrag verandert.</w:t>
      </w:r>
    </w:p>
    <w:p>
      <w:pPr>
        <w:pStyle w:val="ListParagraph"/>
        <w:numPr>
          <w:ilvl w:val="0"/>
          <w:numId w:val="2"/>
        </w:numPr>
        <w:spacing w:after="70" w:line="280"/>
      </w:pPr>
      <w:r>
        <w:rPr>
          <w:rFonts w:ascii="Calibri" w:cs="Calibri" w:eastAsia="Calibri" w:hAnsi="Calibri"/>
          <w:color w:val="0E1A1C"/>
          <w:sz w:val="21"/>
          <w:szCs w:val="21"/>
        </w:rPr>
        <w:t xml:space="preserve">Twaalf KPI’s. Laat schrappen tot zes; de discussie daarover is het leermoment.</w:t>
      </w:r>
    </w:p>
    <w:p>
      <w:pPr>
        <w:pStyle w:val="ListParagraph"/>
        <w:numPr>
          <w:ilvl w:val="0"/>
          <w:numId w:val="2"/>
        </w:numPr>
        <w:spacing w:after="70" w:line="280"/>
      </w:pPr>
      <w:r>
        <w:rPr>
          <w:rFonts w:ascii="Calibri" w:cs="Calibri" w:eastAsia="Calibri" w:hAnsi="Calibri"/>
          <w:color w:val="0E1A1C"/>
          <w:sz w:val="21"/>
          <w:szCs w:val="21"/>
        </w:rPr>
        <w:t xml:space="preserve">Winst kiezen die pas na de migratie zichtbaar wordt.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in week elf als blijkt dat de zichtbare winst het niet gaat halen?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twaalf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twaalf. Kies de vragen waar de groep het meest op is uitgevallen en laat deelnemers eerst elkaar overtuigen voordat je het antwoord geeft.</w:t>
      </w:r>
    </w:p>
    <w:p>
      <w:pPr>
        <w:spacing w:after="140"/>
      </w:pPr>
      <w:r>
        <w:t xml:space="preserve"/>
      </w:r>
    </w:p>
    <w:p>
      <w:pPr>
        <w:spacing w:after="70" w:before="26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verzekeraar belegt data-eigenaarschap per applicatie. Wat is het meest waarschijnlijke gevolg?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Definities gaan per systeem uiteenlopen en herhalen zich bij elke migratie.</w:t>
      </w:r>
    </w:p>
    <w:p>
      <w:pPr>
        <w:spacing w:after="40" w:line="275"/>
        <w:ind w:left="420"/>
      </w:pPr>
      <w:r>
        <w:rPr>
          <w:rFonts w:ascii="Calibri" w:cs="Calibri" w:eastAsia="Calibri" w:hAnsi="Calibri"/>
          <w:color w:val="5F7375"/>
          <w:sz w:val="19"/>
          <w:szCs w:val="19"/>
        </w:rPr>
        <w:t xml:space="preserve">Systemen worden vervangen, datadomeinen niet. Eigenaarschap op applicatieniveau laat betekenis meebewegen met techniek, waardoor bij elke vervanging dezelfde definitiediscussie terugkomt en systemen onderling gaan afwijken.</w:t>
      </w:r>
    </w:p>
    <w:p>
      <w:pPr>
        <w:spacing w:after="70" w:before="26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Wie stelt in een goed ingerichte normenhiërarchie een verplichte standaard vast?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governance board</w:t>
      </w:r>
    </w:p>
    <w:p>
      <w:pPr>
        <w:spacing w:after="40" w:line="275"/>
        <w:ind w:left="420"/>
      </w:pPr>
      <w:r>
        <w:rPr>
          <w:rFonts w:ascii="Calibri" w:cs="Calibri" w:eastAsia="Calibri" w:hAnsi="Calibri"/>
          <w:color w:val="5F7375"/>
          <w:sz w:val="19"/>
          <w:szCs w:val="19"/>
        </w:rPr>
        <w:t xml:space="preserve">Beleid is bestuurlijk, de verplichte standaard hoort bij de governance board, een richtlijn bij de domeinraad en de procedure bij de proceseigenaar. Alles bij het bestuur beleggen maakt wijziging praktisch onmogelijk.</w:t>
      </w:r>
    </w:p>
    <w:p>
      <w:pPr>
        <w:spacing w:after="70" w:before="26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Een escalatiepad is beschreven maar wordt in twee jaar niet één keer gebruikt. Wat is de meest waarschijnlijke oorzaak?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Er ontbreekt een termijn waarbinnen het lagere orgaan moet beslissen.</w:t>
      </w:r>
    </w:p>
    <w:p>
      <w:pPr>
        <w:spacing w:after="40" w:line="275"/>
        <w:ind w:left="420"/>
      </w:pPr>
      <w:r>
        <w:rPr>
          <w:rFonts w:ascii="Calibri" w:cs="Calibri" w:eastAsia="Calibri" w:hAnsi="Calibri"/>
          <w:color w:val="5F7375"/>
          <w:sz w:val="19"/>
          <w:szCs w:val="19"/>
        </w:rPr>
        <w:t xml:space="preserve">Zonder tijdslimiet dwingt niets partijen tot afronding en blijft men onderhandelen. Een automatische doorgeleiding na een vaste termijn maakt het pad werkzaam — juist doordat men het liever vermijdt.</w:t>
      </w:r>
    </w:p>
    <w:p>
      <w:pPr>
        <w:spacing w:after="70" w:before="26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Welke notatie past bij het onderzoeken van een datakwaliteitsincident waarvan de aanpak per geval verschilt?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CMMN</w:t>
      </w:r>
    </w:p>
    <w:p>
      <w:pPr>
        <w:spacing w:after="40" w:line="275"/>
        <w:ind w:left="420"/>
      </w:pPr>
      <w:r>
        <w:rPr>
          <w:rFonts w:ascii="Calibri" w:cs="Calibri" w:eastAsia="Calibri" w:hAnsi="Calibri"/>
          <w:color w:val="5F7375"/>
          <w:sz w:val="19"/>
          <w:szCs w:val="19"/>
        </w:rPr>
        <w:t xml:space="preserve">De volgorde is niet vooraf bekend en de behandelaar bepaalt wat nodig is. Dat is casemanagement: CMMN, met discretionaire taken, mijlpalen en sentries.</w:t>
      </w:r>
    </w:p>
    <w:p>
      <w:pPr>
        <w:spacing w:after="70" w:before="26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Je treft een BPMN-model aan met elf opeenvolgende exclusieve gateways. Wat is de aangewezen ingreep?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De beslislogica verplaatsen naar een DMN-beslistabel en één beslistaak overhouden.</w:t>
      </w:r>
    </w:p>
    <w:p>
      <w:pPr>
        <w:spacing w:after="40" w:line="275"/>
        <w:ind w:left="420"/>
      </w:pPr>
      <w:r>
        <w:rPr>
          <w:rFonts w:ascii="Calibri" w:cs="Calibri" w:eastAsia="Calibri" w:hAnsi="Calibri"/>
          <w:color w:val="5F7375"/>
          <w:sz w:val="19"/>
          <w:szCs w:val="19"/>
        </w:rPr>
        <w:t xml:space="preserve">Een reeks exclusieve gateways is een besluit dat als proces is getekend. In DMN wordt de logica expliciet, toetsbaar en onderhoudbaar, en blijft het BPMN-model leesbaar.</w:t>
      </w:r>
    </w:p>
    <w:p>
      <w:pPr>
        <w:spacing w:after="70" w:before="26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betekent de hit policy "Unique" in een DMN-beslistabel?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Elke combinatie van invoerwaarden valt onder precies één regel; overlap is een fout.</w:t>
      </w:r>
    </w:p>
    <w:p>
      <w:pPr>
        <w:spacing w:after="40" w:line="275"/>
        <w:ind w:left="420"/>
      </w:pPr>
      <w:r>
        <w:rPr>
          <w:rFonts w:ascii="Calibri" w:cs="Calibri" w:eastAsia="Calibri" w:hAnsi="Calibri"/>
          <w:color w:val="5F7375"/>
          <w:sz w:val="19"/>
          <w:szCs w:val="19"/>
        </w:rPr>
        <w:t xml:space="preserve">Unique dwingt af dat regels elkaar niet overlappen en maakt modelleerfouten zichtbaar bij validatie. First verbergt overlap juist achter de volgorde, wat het onderhoud op termijn onbetrouwbaar maakt.</w:t>
      </w:r>
    </w:p>
    <w:p>
      <w:pPr>
        <w:spacing w:after="70" w:before="26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Een RACI-matrix bevat op één rij drie A’s. Wat is de consequentie?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Er is feitelijk niemand aanspreekbaar op dat besluit.</w:t>
      </w:r>
    </w:p>
    <w:p>
      <w:pPr>
        <w:spacing w:after="40" w:line="275"/>
        <w:ind w:left="420"/>
      </w:pPr>
      <w:r>
        <w:rPr>
          <w:rFonts w:ascii="Calibri" w:cs="Calibri" w:eastAsia="Calibri" w:hAnsi="Calibri"/>
          <w:color w:val="5F7375"/>
          <w:sz w:val="19"/>
          <w:szCs w:val="19"/>
        </w:rPr>
        <w:t xml:space="preserve">Accountability is per definitie enkelvoudig. Meerdere A’s zijn geen borging maar een uitgestelde keuze die er ordelijk uitziet; in de praktijk verwijst iedereen naar de ander.</w:t>
      </w:r>
    </w:p>
    <w:p>
      <w:pPr>
        <w:spacing w:after="70" w:before="26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situatie pleit het sterkst voor een federatief inrichtingsmodel?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Middelgrote organisatie met meerdere domeinen en aantoonbaarheidseisen van een toezichthouder.</w:t>
      </w:r>
    </w:p>
    <w:p>
      <w:pPr>
        <w:spacing w:after="40" w:line="275"/>
        <w:ind w:left="420"/>
      </w:pPr>
      <w:r>
        <w:rPr>
          <w:rFonts w:ascii="Calibri" w:cs="Calibri" w:eastAsia="Calibri" w:hAnsi="Calibri"/>
          <w:color w:val="5F7375"/>
          <w:sz w:val="19"/>
          <w:szCs w:val="19"/>
        </w:rPr>
        <w:t xml:space="preserve">Federatief combineert centrale normstelling met decentrale uitvoering. Dat past waar uniformiteit aantoonbaar moet zijn maar domeinen genoeg verschillen om eigen invulling te rechtvaardigen.</w:t>
      </w:r>
    </w:p>
    <w:p>
      <w:pPr>
        <w:spacing w:after="70" w:before="26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Welke van deze indicatoren is een vanity metric voor data governance?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Aantal gehouden vergaderingen van de governance board.</w:t>
      </w:r>
    </w:p>
    <w:p>
      <w:pPr>
        <w:spacing w:after="40" w:line="275"/>
        <w:ind w:left="420"/>
      </w:pPr>
      <w:r>
        <w:rPr>
          <w:rFonts w:ascii="Calibri" w:cs="Calibri" w:eastAsia="Calibri" w:hAnsi="Calibri"/>
          <w:color w:val="5F7375"/>
          <w:sz w:val="19"/>
          <w:szCs w:val="19"/>
        </w:rPr>
        <w:t xml:space="preserve">Vergaderfrequentie meet activiteit, niet uitkomst. Een board kan trouw vergaderen terwijl geen enkel besluit valt; de andere drie meten of de inrichting daadwerkelijk iets verandert.</w:t>
      </w:r>
    </w:p>
    <w:p>
      <w:pPr>
        <w:spacing w:after="70" w:before="26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het grootste risico van een waiver zonder einddatum?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wordt stilzwijgend beleid en werkt als precedent.</w:t>
      </w:r>
    </w:p>
    <w:p>
      <w:pPr>
        <w:spacing w:after="40" w:line="275"/>
        <w:ind w:left="420"/>
      </w:pPr>
      <w:r>
        <w:rPr>
          <w:rFonts w:ascii="Calibri" w:cs="Calibri" w:eastAsia="Calibri" w:hAnsi="Calibri"/>
          <w:color w:val="5F7375"/>
          <w:sz w:val="19"/>
          <w:szCs w:val="19"/>
        </w:rPr>
        <w:t xml:space="preserve">Een uitzondering die nooit vervalt, wordt nooit heroverwogen. Binnen een jaar beroept een volgende afdeling zich erop, en de facto is de standaard gewijzigd zonder dat iemand dat heeft besloten.</w:t>
      </w:r>
    </w:p>
    <w:p>
      <w:pPr>
        <w:spacing w:after="70" w:before="26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onderscheidt een data custodian van een data owner?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custodian beheert opslag, beschikbaarheid en technische toegang; de owner is inhoudelijk eindverantwoordelijk.</w:t>
      </w:r>
    </w:p>
    <w:p>
      <w:pPr>
        <w:spacing w:after="40" w:line="275"/>
        <w:ind w:left="420"/>
      </w:pPr>
      <w:r>
        <w:rPr>
          <w:rFonts w:ascii="Calibri" w:cs="Calibri" w:eastAsia="Calibri" w:hAnsi="Calibri"/>
          <w:color w:val="5F7375"/>
          <w:sz w:val="19"/>
          <w:szCs w:val="19"/>
        </w:rPr>
        <w:t xml:space="preserve">De custodian is de technische bewaarder en wordt regelmatig ten onrechte aangesproken op inhoudelijke kwaliteit. Die verantwoordelijkheid ligt bij de owner, ondersteund door de stewards.</w:t>
      </w:r>
    </w:p>
    <w:p>
      <w:pPr>
        <w:spacing w:after="70" w:before="26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Een organisatie wil governance invoeren zonder nieuwe overlegstructuren. Wat is de meest kansrijke aanpak?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Besluitrechten beleggen bij bestaande domeinoverleggen en hun agenda uitbreiden.</w:t>
      </w:r>
    </w:p>
    <w:p>
      <w:pPr>
        <w:spacing w:after="40" w:line="275"/>
        <w:ind w:left="420"/>
      </w:pPr>
      <w:r>
        <w:rPr>
          <w:rFonts w:ascii="Calibri" w:cs="Calibri" w:eastAsia="Calibri" w:hAnsi="Calibri"/>
          <w:color w:val="5F7375"/>
          <w:sz w:val="19"/>
          <w:szCs w:val="19"/>
        </w:rPr>
        <w:t xml:space="preserve">Bestaande overleggen hebben al aanwezigheid, ritme en gezag. Het besluitrecht expliciet daar beleggen kost minder adoptie-energie dan een nieuw orgaan dat zijn bestaansrecht nog moet verdienen.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Kan governance werken zonder mandaat, puur op vrijwilligheid? Onder welke voorwaarden wel?</w:t>
      </w:r>
    </w:p>
    <w:p>
      <w:pPr>
        <w:pStyle w:val="ListParagraph"/>
        <w:numPr>
          <w:ilvl w:val="0"/>
          <w:numId w:val="3"/>
        </w:numPr>
        <w:spacing w:after="70" w:line="280"/>
      </w:pPr>
      <w:r>
        <w:rPr>
          <w:rFonts w:ascii="Calibri" w:cs="Calibri" w:eastAsia="Calibri" w:hAnsi="Calibri"/>
          <w:color w:val="0E1A1C"/>
          <w:sz w:val="21"/>
          <w:szCs w:val="21"/>
        </w:rPr>
        <w:t xml:space="preserve">Waar houdt data governance op en begint data-architectuur — en wie beslist dat?</w:t>
      </w:r>
    </w:p>
    <w:p>
      <w:pPr>
        <w:pStyle w:val="ListParagraph"/>
        <w:numPr>
          <w:ilvl w:val="0"/>
          <w:numId w:val="3"/>
        </w:numPr>
        <w:spacing w:after="70" w:line="280"/>
      </w:pPr>
      <w:r>
        <w:rPr>
          <w:rFonts w:ascii="Calibri" w:cs="Calibri" w:eastAsia="Calibri" w:hAnsi="Calibri"/>
          <w:color w:val="0E1A1C"/>
          <w:sz w:val="21"/>
          <w:szCs w:val="21"/>
        </w:rPr>
        <w:t xml:space="preserve">Is een CDO die aan de CFO rapporteert beter of slechter af dan een CDO onder de COO?</w:t>
      </w:r>
    </w:p>
    <w:p>
      <w:pPr>
        <w:pStyle w:val="ListParagraph"/>
        <w:numPr>
          <w:ilvl w:val="0"/>
          <w:numId w:val="3"/>
        </w:numPr>
        <w:spacing w:after="70" w:line="280"/>
      </w:pPr>
      <w:r>
        <w:rPr>
          <w:rFonts w:ascii="Calibri" w:cs="Calibri" w:eastAsia="Calibri" w:hAnsi="Calibri"/>
          <w:color w:val="0E1A1C"/>
          <w:sz w:val="21"/>
          <w:szCs w:val="21"/>
        </w:rPr>
        <w:t xml:space="preserve">Wat doe je als de data owner van een domein structureel niet komt opdagen?</w:t>
      </w:r>
    </w:p>
    <w:p>
      <w:pPr>
        <w:pStyle w:val="ListParagraph"/>
        <w:numPr>
          <w:ilvl w:val="0"/>
          <w:numId w:val="3"/>
        </w:numPr>
        <w:spacing w:after="70" w:line="280"/>
      </w:pPr>
      <w:r>
        <w:rPr>
          <w:rFonts w:ascii="Calibri" w:cs="Calibri" w:eastAsia="Calibri" w:hAnsi="Calibri"/>
          <w:color w:val="0E1A1C"/>
          <w:sz w:val="21"/>
          <w:szCs w:val="21"/>
        </w:rPr>
        <w:t xml:space="preserve">Federated computational governance uit de data mesh-literatuur: nieuw idee of oude wijn? Dit loopt door naar deel 23 en 25.</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de besluitrechtenmatrix uitbreiden met een achtste besluittype dat zij zelf uit hun praktijk halen.</w:t>
      </w:r>
    </w:p>
    <w:p>
      <w:pPr>
        <w:pStyle w:val="ListParagraph"/>
        <w:numPr>
          <w:ilvl w:val="0"/>
          <w:numId w:val="2"/>
        </w:numPr>
        <w:spacing w:after="70" w:line="280"/>
      </w:pPr>
      <w:r>
        <w:rPr>
          <w:rFonts w:ascii="Calibri" w:cs="Calibri" w:eastAsia="Calibri" w:hAnsi="Calibri"/>
          <w:color w:val="0E1A1C"/>
          <w:sz w:val="21"/>
          <w:szCs w:val="21"/>
        </w:rPr>
        <w:t xml:space="preserve">Vraag om de DMN-tabel te herschrijven met een andere hit policy en de gevolgen te benoemen.</w:t>
      </w:r>
    </w:p>
    <w:p>
      <w:pPr>
        <w:pStyle w:val="ListParagraph"/>
        <w:numPr>
          <w:ilvl w:val="0"/>
          <w:numId w:val="2"/>
        </w:numPr>
        <w:spacing w:after="70" w:line="280"/>
      </w:pPr>
      <w:r>
        <w:rPr>
          <w:rFonts w:ascii="Calibri" w:cs="Calibri" w:eastAsia="Calibri" w:hAnsi="Calibri"/>
          <w:color w:val="0E1A1C"/>
          <w:sz w:val="21"/>
          <w:szCs w:val="21"/>
        </w:rPr>
        <w:t xml:space="preserve">Laat ze de rol van criticaster spelen bij de nabespreking van opdracht 7.</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vier besluittypen in plaats van zeven.</w:t>
      </w:r>
    </w:p>
    <w:p>
      <w:pPr>
        <w:pStyle w:val="ListParagraph"/>
        <w:numPr>
          <w:ilvl w:val="0"/>
          <w:numId w:val="2"/>
        </w:numPr>
        <w:spacing w:after="70" w:line="280"/>
      </w:pPr>
      <w:r>
        <w:rPr>
          <w:rFonts w:ascii="Calibri" w:cs="Calibri" w:eastAsia="Calibri" w:hAnsi="Calibri"/>
          <w:color w:val="0E1A1C"/>
          <w:sz w:val="21"/>
          <w:szCs w:val="21"/>
        </w:rPr>
        <w:t xml:space="preserve">Geef bij opdracht 4 de lanes voor; het modelleren zelf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in duo met een sterkere deelnemer maken en de nabespreking presenteren.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het DMBOK echt zelf kopen?"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Het is tijdens het CDMP-examen het enige toegestane hulpmiddel en dit materiaal reproduceert het niet. Papier of digitaal, niet beide.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deel als officiële examentraining?"</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twee specialistexamens moet ik kiezen?"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consultants adviseren wij Data Governance en Data Quality. De keuze is vrij; controleer de actuele lijst bij DAMA.</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"Zijn de zelftoetsvragen echte examenvragen?"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ze zijn door Ductus opgesteld en trainen het vraagtype, niet de inhoud van het examen.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BPMN op het examen nodig?"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als notatie. Het onderscheid tussen governanceproces en besluitregel wel; dat toetsen scenariovragen regelmatig.</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16 — Data governance operating model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Deel 16 — Data governance operating model — Docentenhandleiding</dc:title>
  <dc:creator>Ductus B.V.</dc:creator>
  <dc:description>Cursusmateriaal datamanagement, data-analyse en data governance</dc:description>
  <cp:lastModifiedBy>Un-named</cp:lastModifiedBy>
  <cp:revision>1</cp:revision>
  <dcterms:created xsi:type="dcterms:W3CDTF">2026-08-05T10:35:04.779Z</dcterms:created>
  <dcterms:modified xsi:type="dcterms:W3CDTF">2026-08-05T10:35:04.779Z</dcterms:modified>
</cp:coreProperties>
</file>

<file path=docProps/custom.xml><?xml version="1.0" encoding="utf-8"?>
<Properties xmlns="http://schemas.openxmlformats.org/officeDocument/2006/custom-properties" xmlns:vt="http://schemas.openxmlformats.org/officeDocument/2006/docPropsVTypes"/>
</file>