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onsolas" w:cs="Consolas" w:eastAsia="Consolas" w:hAnsi="Consolas"/>
          <w:color w:val="3F7D74"/>
          <w:spacing w:val="60"/>
          <w:sz w:val="18"/>
          <w:szCs w:val="18"/>
        </w:rPr>
        <w:t xml:space="preserve">NIVEAU 2 · PRAKTIJK · DEEL 16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0E1A1C"/>
          <w:sz w:val="56"/>
          <w:szCs w:val="56"/>
        </w:rPr>
        <w:t xml:space="preserve">Data governance operating model</w:t>
      </w:r>
    </w:p>
    <w:p>
      <w:pPr>
        <w:spacing w:after="300"/>
      </w:pPr>
      <w:r>
        <w:rPr>
          <w:rFonts w:ascii="Calibri" w:cs="Calibri" w:eastAsia="Calibri" w:hAnsi="Calibri"/>
          <w:color w:val="5F7375"/>
          <w:sz w:val="26"/>
          <w:szCs w:val="26"/>
        </w:rPr>
        <w:t xml:space="preserve">Werkboek met opdrachten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OPDRACHTEN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8, plus zelftoets van 12 vragen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TIJD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± 5 uur zelfstandig, 4 uur klassikaal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CASUS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Meridiaan Pensioen N.V.</w:t>
      </w:r>
    </w:p>
    <w:p>
      <w:pPr>
        <w:spacing w:after="4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MEENEMEN  </w:t>
      </w:r>
      <w:r>
        <w:rPr>
          <w:rFonts w:ascii="Calibri" w:cs="Calibri" w:eastAsia="Calibri" w:hAnsi="Calibri"/>
          <w:b/>
          <w:bCs/>
          <w:color w:val="0E1A1C"/>
          <w:sz w:val="20"/>
          <w:szCs w:val="20"/>
        </w:rPr>
        <w:t xml:space="preserve">Reader deel 16 en je eigen DMBOK2</w:t>
      </w:r>
    </w:p>
    <w:p>
      <w:pPr>
        <w:spacing w:after="360"/>
      </w:pPr>
      <w:r>
        <w:t xml:space="preserve"/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Voorbereiding, geen vervanging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Deze cursusmap is onafhankelijk ontwikkeld door Ductus B.V. Ductus is niet gelieerd aan, geaccrediteerd door of goedgekeurd door DAMA International, IIBA, IAPP, de EDM Association of Microsoft.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Dit materiaal bereidt voor op de genoemde examens en vervangt het officiële examenmateriaal niet. Bodies of knowledge, handboeken en examenblueprints worden hier niet gereproduceerd; deelnemers schaffen die bronnen zelf aan.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Alle genoemde merken zijn eigendom van hun respectieve houders. Examengegevens gecontroleerd in augustus 2026 — verifieer vóór inschrijving bij de bron.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Hoe je dit werkboek gebruikt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De opdrachten 1 tot en met 3 maak je vóór de klassikale sessie. Opdracht 4 tot en met 6 doe je klassikaal in tweetallen; daar hoort discussie bij en die is het halve leerrendement. Opdracht 7 en 8 rond je daarna zelfstandig af, samen met de zelftoets.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Alle opdrachten spelen bij Meridiaan Pensioen N.V. De casusbeschrijving staat in hoofdstuk 14 van de reader. De casus is bewust incompleet: waar informatie ontbreekt, doe je een aanname en schrijf je die op. Een expliciete aanname is een goed antwoord; een verzwegen aanname is dat niet.</w:t>
      </w:r>
    </w:p>
    <w:p>
      <w:pPr>
        <w:spacing w:after="120"/>
      </w:pPr>
      <w:r>
        <w:t xml:space="preserve"/>
      </w:r>
    </w:p>
    <w:tbl>
      <w:tblPr>
        <w:tblW w:type="dxa" w:w="9020"/>
        <w:tblBorders>
          <w:top w:val="single" w:color="C9D3CE" w:sz="2"/>
          <w:left w:val="single" w:color="C9D3CE" w:sz="2"/>
          <w:bottom w:val="single" w:color="C9D3CE" w:sz="2"/>
          <w:right w:val="single" w:color="C9D3CE" w:sz="2"/>
          <w:insideH w:val="single" w:color="C9D3CE" w:sz="2"/>
          <w:insideV w:val="single" w:color="C9D3CE" w:sz="2"/>
        </w:tblBorders>
      </w:tblPr>
      <w:tblGrid>
        <w:gridCol w:w="2900"/>
        <w:gridCol w:w="1700"/>
        <w:gridCol w:w="1900"/>
        <w:gridCol w:w="2520"/>
      </w:tblGrid>
      <w:tr>
        <w:trPr>
          <w:tblHeader/>
        </w:trPr>
        <w:tc>
          <w:tcPr>
            <w:tcW w:type="dxa" w:w="29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Opdracht</w:t>
            </w:r>
          </w:p>
        </w:tc>
        <w:tc>
          <w:tcPr>
            <w:tcW w:type="dxa" w:w="17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Wanneer</w:t>
            </w:r>
          </w:p>
        </w:tc>
        <w:tc>
          <w:tcPr>
            <w:tcW w:type="dxa" w:w="190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Werkvorm</w:t>
            </w:r>
          </w:p>
        </w:tc>
        <w:tc>
          <w:tcPr>
            <w:tcW w:type="dxa" w:w="2520"/>
            <w:shd w:fill="1B4A4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Tijd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1. Mandaat en charter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Vooraf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2. Organenontwerp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Vooraf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3. Besluitrechtenmatrix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Vooraf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60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4. BPMN — begripswijziging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50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5. CMMN — kwaliteitsincident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40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6. DMN — classificatietabel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Klassikaal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Tweetal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7. Inrichtingsmodel kiezen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Achteraf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2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8. Adoptieplan 90 dagen</w:t>
            </w:r>
          </w:p>
        </w:tc>
        <w:tc>
          <w:tcPr>
            <w:tcW w:type="dxa" w:w="17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Achteraf</w:t>
            </w:r>
          </w:p>
        </w:tc>
        <w:tc>
          <w:tcPr>
            <w:tcW w:type="dxa" w:w="190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EF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Zelftoets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Achteraf</w:t>
            </w:r>
          </w:p>
        </w:tc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Individueel</w:t>
            </w:r>
          </w:p>
        </w:tc>
        <w:tc>
          <w:tcPr>
            <w:tcW w:type="dxa" w:w="25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E1A1C"/>
                <w:sz w:val="19"/>
                <w:szCs w:val="19"/>
              </w:rPr>
              <w:t xml:space="preserve">25 min</w:t>
            </w:r>
          </w:p>
        </w:tc>
      </w:tr>
    </w:tbl>
    <w:p>
      <w:r>
        <w:br w:type="page"/>
      </w:r>
    </w:p>
    <w:p>
      <w:pPr>
        <w:spacing w:after="40" w:before="38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1  ·  45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Mandaat en charter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Vaststellen waar het gezag van de datagovernance bij Meridiaan vandaan komt en dat vastleggen in een charter dat aan DNB te tonen is.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Benoem welke van de drie mandaatbronnen bij Meridiaan aanwezig zijn en beoordeel per bron hoe duurzaam die is.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Schrijf een charter van maximaal één A4 met de zes elementen uit paragraaf 3 van de reader.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expliciet wat buiten scope valt. Noem minstens drie onderwerpen die anderen erin zullen willen schuiven.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Formuleer de afbakening naar informatiebeveiliging, privacy en risicomanagement in besluiten, niet in onderwerpen.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Charter van één A4 plus een korte notitie over de houdbaarheid van het mandaat.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CDO heeft 0,6 fte en rapporteert aan de CFO. Vraag jezelf af of het mandaat dat je opschrijft met die positionering waargemaakt kan worden — en zo niet, wat je daarover in het charter regelt.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38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2  ·  45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Organenontwerp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organenstructuur ontwerpen die past bij vier domeinen, een lopende migratie en een opdrachtgever die geen nieuwe overleggen wil.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welke organen strikt noodzakelijk zijn. Pas op elk voorgesteld orgaan de vergadertoets uit de reader toe.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Leg per orgaan vast: mandaat, samenstelling, ritme, agendabron, escalatie omhoog en delegatie omlaag.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Geef aan welke bestaande overleggen je hergebruikt en wat er dan aan hun opdracht verandert.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wat er met de huidige adviserende Data Board gebeurt — opheffen, ombouwen of laten bestaan.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Overzichtstabel van organen plus twee alinea’s over de omgang met de bestaande Data Board.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opmerking "geen nieuwe overlegstructuren" is geen obstakel maar een ontwerpeis. Het beste antwoord voegt netto nul overleggen toe.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38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3  ·  60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Besluitrechtenmatrix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De zeven besluittypen beleggen bij de organen uit opdracht 2, met termijnen en escalatie.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Vul voor elk van de zeven besluittypen in: wie adviseert, wie besluit, wie wordt geïnformeerd, binnen welke termijn, waarheen escaleert het.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Onderbouw de termijnen. Een termijn die je niet kunt verdedigen, is een wens.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Controleer op precies één A per rij en op forumshoppen: is er een besluit dat bij twee organen kan landen?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Markeer welk besluit de definitiediscussie over "actieve deelnemer" beslecht en hoe lang dat volgens jouw matrix duurt.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Ingevulde matrix van zeven rijen plus een korte toelichting bij de twee besluiten waarover je het langst hebt getwijfeld.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Reken de doorlooptijd van de definitiediscussie na. Als jouw matrix uitkomt op meer dan zes weken, ligt de DNB-termijn van vier maanden onder druk — dan is dat zelf een bevinding.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38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4  ·  50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BPMN — het begripswijzigingsproces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Het proces modelleren waarmee de definitie van "actieve deelnemer" wordt gewijzigd en gepubliceerd.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Modelleer in BPMN, van aanvraag tot publicatie en communicatie. Gebruik lanes voor de betrokken rollen.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Neem de impactanalyse op rapportages, koppelvlakken en modellen als expliciete taak op.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Modelleer zowel de goedkeuring als de afwijzing, inclusief terugkoppeling aan de aanvrager.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waar het versienummer en de ingangsdatum worden vastgelegd, en wie daarvoor tekent.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Tel je exclusieve gateways. Zijn het er meer dan vijf, splits dan de beslislogica af naar opdracht 6.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BPMN-diagram met lanes, plus één alinea over de vraag welke stap je zou schrappen als het proces te traag blijkt.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verleiding is om te stoppen bij "besluit genomen". De stappen daarna — publiceren, communiceren, versie vastleggen — bepalen of het besluit over een jaar nog vindbaar is.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38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5  ·  40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CMMN — het kwaliteitsincident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Het onderzoek naar een datakwaliteitsincident modelleren als case in plaats van als proces.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de case file: welke informatie ligt bij aanvang vast?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Benoem minimaal vijf taken en geef per taak aan of die verplicht of discretionair is.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Definieer drie mijlpalen en bepaal per mijlpaal wanneer die is bereikt.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twee sentries: welke gebeurtenis maakt welke taak beschikbaar?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Geef aan wanneer de case mag sluiten — en wie dat besluit neemt.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CMMN-model plus een korte argumentatie waarom dit géén BPMN-proces is.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 scherpste toets: kun je vooraf de volgorde van de taken opschrijven? Kan dat wel, dan had het BPMN moeten zijn en klopt je casuskeuze niet.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38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6  ·  45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DMN — de classificatiebeslissing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beslistabel opstellen die de classificatie van een dataset bepaalt, met de bijbehorende toegangsregels.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de invoervariabelen. Begin met de vier uit de reader en voeg er ten minste één toe die specifiek is voor een pensioenuitvoerder.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Stel de beslistabel op met classificatie én toegangsregime als uitvoer.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Kies een hit policy en verantwoord de keuze.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Controleer op volledigheid en op overlap. Noteer welke combinaties je bewust niet hebt afgedekt.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Bepaal waar deze beslistabel in het BPMN-model van opdracht 4 wordt aangeroepen.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DMN-beslistabel met minimaal zes regels, plus een notitie over volledigheid en overlap.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Denk aan gegevens die bij een pensioenuitvoerder bijzonder gevoelig liggen zonder formeel een bijzondere categorie te zijn — arbeidsongeschiktheid, scheidingsgegevens, nabestaanden.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38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7  ·  45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Inrichtingsmodel kiezen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onderbouwde keuze maken tussen centraal, decentraal, federatief en hub-and-spoke voor Meridiaan.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Scoor Meridiaan op de vijf keuzecriteria uit de reader.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Kies een model en beschrijf in maximaal 300 woorden waarom, in termen die de CFO begrijpt.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Benoem het grootste risico van jouw keuze en de maatregel waarmee je dat afdekt.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hoe het model er over twee jaar uitziet als de migratie is afgerond — verandert de keuze dan?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Scoringstabel, keuzenotitie van maximaal 300 woorden, en een risicoparagraaf.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Presenteer de criteria vóór de conclusie. Een opdrachtgever die de criteria heeft geaccepteerd, accepteert de uitkomst; andersom werkt het zelden.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spacing w:after="40" w:before="380"/>
      </w:pPr>
      <w:r>
        <w:rPr>
          <w:rFonts w:ascii="Consolas" w:cs="Consolas" w:eastAsia="Consolas" w:hAnsi="Consolas"/>
          <w:color w:val="3F7D74"/>
          <w:spacing w:val="40"/>
          <w:sz w:val="17"/>
          <w:szCs w:val="17"/>
        </w:rPr>
        <w:t xml:space="preserve">OPDRACHT 8  ·  45 minuten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1B4A48"/>
          <w:sz w:val="30"/>
          <w:szCs w:val="30"/>
        </w:rPr>
        <w:t xml:space="preserve">Adoptieplan voor negentig dagen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Doel.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Een plan maken dat binnen drie maanden zichtbaar resultaat oplevert zonder het migratieprogramma te vertragen.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Kies één zichtbare winst die binnen negentig dagen haalbaar is en verantwoord die keuze.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hoe je de vier bestaande stewards van rol naar mandaat brengt, inclusief uren en verankering in het functieprofiel.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Stel een KPI-set van maximaal zes indicatoren op en geef per indicator de startwaarde die je verwacht.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Benoem de drie weerstandpatronen die je bij Meridiaan verwacht en je reactie erop.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Beschrijf wat je in de eerste kwartaalrapportage aan de board laat zien.</w:t>
      </w:r>
    </w:p>
    <w:p>
      <w:pPr>
        <w:spacing w:after="60"/>
      </w:pPr>
      <w:r>
        <w:t xml:space="preserve"/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Op te leveren. </w:t>
      </w:r>
      <w:r>
        <w:rPr>
          <w:rFonts w:ascii="Calibri" w:cs="Calibri" w:eastAsia="Calibri" w:hAnsi="Calibri"/>
          <w:color w:val="0E1A1C"/>
          <w:sz w:val="21"/>
          <w:szCs w:val="21"/>
        </w:rPr>
        <w:t xml:space="preserve">Plan van maximaal twee A4, met tijdlijn, KPI-set en risicoparagraaf.</w:t>
      </w:r>
    </w:p>
    <w:tbl>
      <w:tblPr>
        <w:tblW w:type="dxa" w:w="9020"/>
        <w:tblBorders>
          <w:top w:val="single" w:color="F6F3EC" w:sz="2"/>
          <w:left w:val="single" w:color="8A6425" w:sz="18"/>
          <w:bottom w:val="single" w:color="F6F3EC" w:sz="2"/>
          <w:right w:val="single" w:color="F6F3EC" w:sz="2"/>
          <w:insideH w:val="single" w:color="F6F3EC" w:sz="2"/>
          <w:insideV w:val="single" w:color="F6F3EC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6F3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8A6425"/>
                <w:sz w:val="19"/>
                <w:szCs w:val="19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0E1A1C"/>
                <w:sz w:val="20"/>
                <w:szCs w:val="20"/>
              </w:rPr>
              <w:t xml:space="preserve">Kies de zichtbare winst zo dat de DNB-bevinding erdoor wordt geraakt. Winst die de toezichthouder niet aangaat, koopt intern minder krediet dan je denkt.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Zelftoets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Twaalf meerkeuzevragen in de stijl van scenariovragen zoals je die op het specialistexamen tegenkomt. Deze vragen zijn door Ductus zelf opgesteld; het zijn geen examenvragen en ze zijn niet ontleend aan officieel examenmateriaal. De antwoorden en toelichtingen krijg je van je docent.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Werk zonder hulpmiddelen en houd vijfentwintig minuten aan. Noteer bij elke vraag ook je zekerheid — dat maakt de nabespreking bruikbaarder dan het aantal goede antwoorden.</w:t>
      </w:r>
    </w:p>
    <w:p>
      <w:pPr>
        <w:spacing w:after="160"/>
      </w:pPr>
      <w:r>
        <w:t xml:space="preserve"/>
      </w:r>
    </w:p>
    <w:p>
      <w:pPr>
        <w:spacing w:after="90" w:before="30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Een verzekeraar belegt data-eigenaarschap per applicatie. Wat is het meest waarschijnlijke gevolg?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kwaliteit van de brondata neemt structureel toe.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Definities gaan per systeem uiteenlopen en herhalen zich bij elke migratie.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Stewards krijgen automatisch meer mandaat.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aantal waivers daalt.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30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2.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Wie stelt in een goed ingerichte normenhiërarchie een verplichte standaard vast?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bestuur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governance board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domeinraad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proceseigenaar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30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3.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Een escalatiepad is beschreven maar wordt in twee jaar niet één keer gebruikt. Wat is de meest waarschijnlijke oorzaak?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organisatie is uitzonderlijk volwassen.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Er ontbreekt een termijn waarbinnen het lagere orgaan moet beslissen.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escalatiepad is te kort.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board vergadert te vaak.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30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4.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Welke notatie past bij het onderzoeken van een datakwaliteitsincident waarvan de aanpak per geval verschilt?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BPMN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CMMN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DMN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UML-sequentiediagram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30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5.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Je treft een BPMN-model aan met elf opeenvolgende exclusieve gateways. Wat is de aangewezen ingreep?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model opsplitsen in drie subprocessen.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gateways vervangen door parallelle gateways.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beslislogica verplaatsen naar een DMN-beslistabel en één beslistaak overhouden.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Overstappen op CMMN.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30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6.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betekent de hit policy "Unique" in een DMN-beslistabel?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eerste passende regel wint.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Elke combinatie van invoerwaarden valt onder precies één regel; overlap is een fout.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Alle passende regels worden uitgevoerd.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regel met de hoogste prioriteit wint.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30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7.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Een RACI-matrix bevat op één rij drie A’s. Wat is de consequentie?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besluit is extra goed geborgd.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Er is feitelijk niemand aanspreekbaar op dat besluit.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R kan vervallen.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Het besluit hoort automatisch naar het bestuur.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30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8.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Welke situatie pleit het sterkst voor een federatief inrichtingsmodel?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Kleine organisatie met één homogeen datadomein en lage volwassenheid.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Middelgrote organisatie met meerdere domeinen en aantoonbaarheidseisen van een toezichthouder.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Organisatie waarin elk domein volledig autonoom wil blijven.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Organisatie zonder centrale IT-functie.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30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9.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Welke van deze indicatoren is een vanity metric voor data governance?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Mediane doorlooptijd van besluiten per besluittype.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Aandeel kritieke datadomeinen met een benoemde owner.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Aantal gehouden vergaderingen van de governance board.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Aantal en gemiddelde leeftijd van openstaande waivers.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30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10.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is het grootste risico van een waiver zonder einddatum?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auditor keurt hem niet goed.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Hij wordt stilzwijgend beleid en werkt als precedent.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steward verliest zijn mandaat.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classificatie moet opnieuw worden vastgesteld.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30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11.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Wat onderscheidt een data custodian van een data owner?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custodian bepaalt de definitie, de owner de opslag.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custodian beheert opslag, beschikbaarheid en technische toegang; de owner is inhoudelijk eindverantwoordelijk.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De custodian is altijd een externe partij.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Er is geen wezenlijk verschil; het zijn synoniemen.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pPr>
        <w:spacing w:after="90" w:before="300"/>
      </w:pPr>
      <w:r>
        <w:rPr>
          <w:rFonts w:ascii="Consolas" w:cs="Consolas" w:eastAsia="Consolas" w:hAnsi="Consolas"/>
          <w:b/>
          <w:bCs/>
          <w:color w:val="3F7D74"/>
          <w:sz w:val="20"/>
          <w:szCs w:val="20"/>
        </w:rPr>
        <w:t xml:space="preserve">12.  </w:t>
      </w:r>
      <w:r>
        <w:rPr>
          <w:rFonts w:ascii="Calibri" w:cs="Calibri" w:eastAsia="Calibri" w:hAnsi="Calibri"/>
          <w:b/>
          <w:bCs/>
          <w:color w:val="0E1A1C"/>
          <w:sz w:val="21"/>
          <w:szCs w:val="21"/>
        </w:rPr>
        <w:t xml:space="preserve">Een organisatie wil governance invoeren zonder nieuwe overlegstructuren. Wat is de meest kansrijke aanpak?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A.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Toch een nieuw gremium instellen, maar met een andere naam.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B.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Besluitrechten beleggen bij bestaande domeinoverleggen en hun agenda uitbreiden.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C.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Alle besluiten bij de CDO beleggen.</w:t>
      </w:r>
    </w:p>
    <w:p>
      <w:pPr>
        <w:spacing w:after="40" w:line="270"/>
        <w:ind w:left="420"/>
      </w:pPr>
      <w:r>
        <w:rPr>
          <w:rFonts w:ascii="Consolas" w:cs="Consolas" w:eastAsia="Consolas" w:hAnsi="Consolas"/>
          <w:color w:val="5F7375"/>
          <w:sz w:val="19"/>
          <w:szCs w:val="19"/>
        </w:rPr>
        <w:t xml:space="preserve">D.  </w:t>
      </w:r>
      <w:r>
        <w:rPr>
          <w:rFonts w:ascii="Calibri" w:cs="Calibri" w:eastAsia="Calibri" w:hAnsi="Calibri"/>
          <w:color w:val="0E1A1C"/>
          <w:sz w:val="20"/>
          <w:szCs w:val="20"/>
        </w:rPr>
        <w:t xml:space="preserve">Wachten tot het migratieprogramma is afgerond.</w:t>
      </w:r>
    </w:p>
    <w:p>
      <w:pPr>
        <w:spacing w:after="0" w:before="80"/>
        <w:ind w:left="420"/>
      </w:pPr>
      <w:r>
        <w:rPr>
          <w:rFonts w:ascii="Consolas" w:cs="Consolas" w:eastAsia="Consolas" w:hAnsi="Consolas"/>
          <w:color w:val="5F7375"/>
          <w:sz w:val="17"/>
          <w:szCs w:val="17"/>
        </w:rPr>
        <w:t xml:space="preserve">Antwoord: ______     Zekerheid:  laag / gemiddeld / hoog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Cambria" w:cs="Cambria" w:eastAsia="Cambria" w:hAnsi="Cambria"/>
          <w:b/>
          <w:bCs/>
          <w:color w:val="1B4A48"/>
          <w:sz w:val="34"/>
          <w:szCs w:val="34"/>
        </w:rPr>
        <w:t xml:space="preserve">Reflectie</w:t>
      </w:r>
    </w:p>
    <w:p>
      <w:pPr>
        <w:spacing w:after="140" w:line="288"/>
      </w:pPr>
      <w:r>
        <w:rPr>
          <w:rFonts w:ascii="Calibri" w:cs="Calibri" w:eastAsia="Calibri" w:hAnsi="Calibri"/>
          <w:color w:val="0E1A1C"/>
          <w:sz w:val="21"/>
          <w:szCs w:val="21"/>
        </w:rPr>
        <w:t xml:space="preserve">Rond het deel af met drie korte antwoorden. Neem ze mee naar de capstone in deel 21.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Welke bouwsteen ontbreekt bij jouw eigen opdrachtgever het meest?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Welk besluittype blijft daar structureel liggen, en waarom?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3F7D74"/>
          <w:sz w:val="22"/>
          <w:szCs w:val="22"/>
        </w:rPr>
        <w:t xml:space="preserve">Wat ga je binnen twee weken concreet anders doen?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rHeight w:val="420" w:hRule="exact"/>
        </w:trPr>
        <w:tc>
          <w:tcPr>
            <w:tcW w:type="dxa" w:w="9020"/>
            <w:tcBorders>
              <w:top w:val="none" w:color="FFFFFF" w:sz="0"/>
              <w:left w:val="none" w:color="FFFFFF" w:sz="0"/>
              <w:bottom w:val="single" w:color="C4CFC9" w:sz="4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CE" w:sz="4"/>
      </w:pBdr>
      <w:spacing w:before="120"/>
      <w:jc w:val="right"/>
    </w:pPr>
    <w:r>
      <w:rPr>
        <w:rFonts w:ascii="Calibri" w:cs="Calibri" w:eastAsia="Calibri" w:hAnsi="Calibri"/>
        <w:color w:val="5F7375"/>
        <w:sz w:val="15"/>
        <w:szCs w:val="15"/>
      </w:rPr>
      <w:t xml:space="preserve">Ductus B.V.  ·  Deel 16 — Data governance operating model  ·  </w:t>
    </w:r>
    <w:r>
      <w:rPr>
        <w:rFonts w:ascii="Calibri" w:cs="Calibri" w:eastAsia="Calibri" w:hAnsi="Calibri"/>
        <w:color w:val="5F737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20"/>
      </w:pPr>
      <w:rPr>
        <w:color w:val="3F7D7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  <w:rPr>
        <w:b/>
        <w:bCs/>
        <w:color w:val="3F7D7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Deel 16 — Data governance operating model — Werkboek</dc:title>
  <dc:creator>Ductus B.V.</dc:creator>
  <dc:description>Cursusmateriaal datamanagement, data-analyse en data governance</dc:description>
  <cp:lastModifiedBy>Un-named</cp:lastModifiedBy>
  <cp:revision>1</cp:revision>
  <dcterms:created xsi:type="dcterms:W3CDTF">2026-08-05T10:35:04.391Z</dcterms:created>
  <dcterms:modified xsi:type="dcterms:W3CDTF">2026-08-05T10:35:04.391Z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