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17</w:t>
      </w:r>
    </w:p>
    <w:p>
      <w:pPr>
        <w:spacing w:after="120"/>
      </w:pPr>
      <w:r>
        <w:rPr>
          <w:rFonts w:ascii="Cambria" w:cs="Cambria" w:eastAsia="Cambria" w:hAnsi="Cambria"/>
          <w:b/>
          <w:bCs/>
          <w:color w:val="0E1A1C"/>
          <w:sz w:val="56"/>
          <w:szCs w:val="56"/>
        </w:rPr>
        <w:t xml:space="preserve">Privacy, security en compliance in uitvoering</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DPIA-sjabloon, verwerkingsregisterfragment, toegangsmatrix, testdatascenario</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17 gelezen; deel 7 afgerond en de casus Meridiaan bekend.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één eigen verwerking meegenomen. Vraag bij binnenkomst wie een verwerking heeft gekozen waarvan hij de grondslag níét weet — dat zijn de bruikbare gevallen.</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Een fragment van het verwerkingsregister met drie ingevulde verwerkingen en vier gaten, waarvan één verwerking bewust per systeem is geregistreerd in plaats van per doel.</w:t>
      </w:r>
    </w:p>
    <w:p>
      <w:pPr>
        <w:pStyle w:val="ListParagraph"/>
        <w:numPr>
          <w:ilvl w:val="0"/>
          <w:numId w:val="2"/>
        </w:numPr>
        <w:spacing w:after="70" w:line="280"/>
      </w:pPr>
      <w:r>
        <w:rPr>
          <w:rFonts w:ascii="Calibri" w:cs="Calibri" w:eastAsia="Calibri" w:hAnsi="Calibri"/>
          <w:color w:val="0E1A1C"/>
          <w:sz w:val="21"/>
          <w:szCs w:val="21"/>
        </w:rPr>
        <w:t xml:space="preserve">Een DPIA-sjabloon met de zes onderdelen uit de reader; laat de risicoparagraaf leeg met alleen de kopjes "risico voor betrokkene" en "maatregel".</w:t>
      </w:r>
    </w:p>
    <w:p>
      <w:pPr>
        <w:pStyle w:val="ListParagraph"/>
        <w:numPr>
          <w:ilvl w:val="0"/>
          <w:numId w:val="2"/>
        </w:numPr>
        <w:spacing w:after="70" w:line="280"/>
      </w:pPr>
      <w:r>
        <w:rPr>
          <w:rFonts w:ascii="Calibri" w:cs="Calibri" w:eastAsia="Calibri" w:hAnsi="Calibri"/>
          <w:color w:val="0E1A1C"/>
          <w:sz w:val="21"/>
          <w:szCs w:val="21"/>
        </w:rPr>
        <w:t xml:space="preserve">Een toegangsmatrix met vijf datasets en zes functiegroepen, waarvan er twee volgens HR niet meer bestaan.</w:t>
      </w:r>
    </w:p>
    <w:p>
      <w:pPr>
        <w:pStyle w:val="ListParagraph"/>
        <w:numPr>
          <w:ilvl w:val="0"/>
          <w:numId w:val="2"/>
        </w:numPr>
        <w:spacing w:after="70" w:line="280"/>
      </w:pPr>
      <w:r>
        <w:rPr>
          <w:rFonts w:ascii="Calibri" w:cs="Calibri" w:eastAsia="Calibri" w:hAnsi="Calibri"/>
          <w:color w:val="0E1A1C"/>
          <w:sz w:val="21"/>
          <w:szCs w:val="21"/>
        </w:rPr>
        <w:t xml:space="preserve">Het testdatascenario met een lijst van randgevallen die het migratieteam wil testen — inclusief de regeling met vier deelnemers.</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7 leerde de vragen stellen; dit deel voert uit. Het bouwt op deel 13 voor de vindbaarheid, op deel 12 voor de verwijderbaarheid in modellen, en op deel 15 voor de kwaliteitsmaatregelen die toezichthouders vragen. Deel 26 en 27 verdiepen de ethische en AI-kant. Voor het CDMP verdiept dit het kennisgebied Data Security; voor wie CIPP/E overweegt is het de praktijkbasis.</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geen juridisch maar een ontwerpprobleem</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het inzageverzoek dat Meridiaan niet kan beantwoorden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Register en triage,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koppeling die het register actueel houdt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DPIA uitvoeren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Grijp in zodra de risicoparagraaf over boetes gaat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2:10–3:05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toegangsmodel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directeursvraag is het gesprek dat blijft hangen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3:05–3:55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testdata</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eerst de randgevallen inventariseren, dan pas de route kiezen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3:55–4:45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toezichtseisen vertalen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overlapanalyse is het financieringsargument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4:45–5:00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Verwerkingsregister aanvullen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Vier verwerkingen aangevuld met doel, grondslag, categorieën, ontvangers en bewaartermijn.</w:t>
      </w:r>
    </w:p>
    <w:p>
      <w:pPr>
        <w:pStyle w:val="ListParagraph"/>
        <w:numPr>
          <w:ilvl w:val="0"/>
          <w:numId w:val="2"/>
        </w:numPr>
        <w:spacing w:after="70" w:line="280"/>
      </w:pPr>
      <w:r>
        <w:rPr>
          <w:rFonts w:ascii="Calibri" w:cs="Calibri" w:eastAsia="Calibri" w:hAnsi="Calibri"/>
          <w:color w:val="0E1A1C"/>
          <w:sz w:val="21"/>
          <w:szCs w:val="21"/>
        </w:rPr>
        <w:t xml:space="preserve">De verwerking die per systeem was geregistreerd, gesplitst naar doelen.</w:t>
      </w:r>
    </w:p>
    <w:p>
      <w:pPr>
        <w:pStyle w:val="ListParagraph"/>
        <w:numPr>
          <w:ilvl w:val="0"/>
          <w:numId w:val="2"/>
        </w:numPr>
        <w:spacing w:after="70" w:line="280"/>
      </w:pPr>
      <w:r>
        <w:rPr>
          <w:rFonts w:ascii="Calibri" w:cs="Calibri" w:eastAsia="Calibri" w:hAnsi="Calibri"/>
          <w:color w:val="0E1A1C"/>
          <w:sz w:val="21"/>
          <w:szCs w:val="21"/>
        </w:rPr>
        <w:t xml:space="preserve">Bewaartermijnen onderbouwd vanuit een wettelijke termijn of een doel, niet met "zolang nodig".</w:t>
      </w:r>
    </w:p>
    <w:p>
      <w:pPr>
        <w:pStyle w:val="ListParagraph"/>
        <w:numPr>
          <w:ilvl w:val="0"/>
          <w:numId w:val="2"/>
        </w:numPr>
        <w:spacing w:after="70" w:line="280"/>
      </w:pPr>
      <w:r>
        <w:rPr>
          <w:rFonts w:ascii="Calibri" w:cs="Calibri" w:eastAsia="Calibri" w:hAnsi="Calibri"/>
          <w:color w:val="0E1A1C"/>
          <w:sz w:val="21"/>
          <w:szCs w:val="21"/>
        </w:rPr>
        <w:t xml:space="preserve">Bijzondere categorieën gemarkeerd bij de digitale uitvraag en het risicomodel.</w:t>
      </w:r>
    </w:p>
    <w:p>
      <w:pPr>
        <w:pStyle w:val="ListParagraph"/>
        <w:numPr>
          <w:ilvl w:val="0"/>
          <w:numId w:val="2"/>
        </w:numPr>
        <w:spacing w:after="70" w:line="280"/>
      </w:pPr>
      <w:r>
        <w:rPr>
          <w:rFonts w:ascii="Calibri" w:cs="Calibri" w:eastAsia="Calibri" w:hAnsi="Calibri"/>
          <w:color w:val="0E1A1C"/>
          <w:sz w:val="21"/>
          <w:szCs w:val="21"/>
        </w:rPr>
        <w:t xml:space="preserve">Een koppelingsvoorstel dat meelift op een bestaand proces.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Per systeem registreren. Wijs op het fragment dat dat bewust fout doet.</w:t>
      </w:r>
    </w:p>
    <w:p>
      <w:pPr>
        <w:pStyle w:val="ListParagraph"/>
        <w:numPr>
          <w:ilvl w:val="0"/>
          <w:numId w:val="2"/>
        </w:numPr>
        <w:spacing w:after="70" w:line="280"/>
      </w:pPr>
      <w:r>
        <w:rPr>
          <w:rFonts w:ascii="Calibri" w:cs="Calibri" w:eastAsia="Calibri" w:hAnsi="Calibri"/>
          <w:color w:val="0E1A1C"/>
          <w:sz w:val="21"/>
          <w:szCs w:val="21"/>
        </w:rPr>
        <w:t xml:space="preserve">Bewaartermijn invullen met "zolang nodig voor de bedrijfsvoering". Vraag: tot wanneer precies?</w:t>
      </w:r>
    </w:p>
    <w:p>
      <w:pPr>
        <w:pStyle w:val="ListParagraph"/>
        <w:numPr>
          <w:ilvl w:val="0"/>
          <w:numId w:val="2"/>
        </w:numPr>
        <w:spacing w:after="70" w:line="280"/>
      </w:pPr>
      <w:r>
        <w:rPr>
          <w:rFonts w:ascii="Calibri" w:cs="Calibri" w:eastAsia="Calibri" w:hAnsi="Calibri"/>
          <w:color w:val="0E1A1C"/>
          <w:sz w:val="21"/>
          <w:szCs w:val="21"/>
        </w:rPr>
        <w:t xml:space="preserve">De koppeling overslaan. Zonder die stap veroudert het register binnen een jaar.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Op welk bestaand proces laat jij de registratie meeliften? En wie moet daar dan iets voor doen?</w:t>
            </w:r>
          </w:p>
        </w:tc>
      </w:tr>
    </w:tbl>
    <w:p>
      <w:pPr>
        <w:pStyle w:val="Heading2"/>
        <w:spacing w:after="140" w:before="340"/>
      </w:pPr>
      <w:r>
        <w:rPr>
          <w:rFonts w:ascii="Cambria" w:cs="Cambria" w:eastAsia="Cambria" w:hAnsi="Cambria"/>
          <w:b/>
          <w:bCs/>
          <w:color w:val="0E1A1C"/>
          <w:sz w:val="26"/>
          <w:szCs w:val="26"/>
        </w:rPr>
        <w:t xml:space="preserve">Opdracht 2 — DPIA-triage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Het risicomodel op verzuim en de digitale uitvraag als duidelijk DPIA-plichtig.</w:t>
      </w:r>
    </w:p>
    <w:p>
      <w:pPr>
        <w:pStyle w:val="ListParagraph"/>
        <w:numPr>
          <w:ilvl w:val="0"/>
          <w:numId w:val="2"/>
        </w:numPr>
        <w:spacing w:after="70" w:line="280"/>
      </w:pPr>
      <w:r>
        <w:rPr>
          <w:rFonts w:ascii="Calibri" w:cs="Calibri" w:eastAsia="Calibri" w:hAnsi="Calibri"/>
          <w:color w:val="0E1A1C"/>
          <w:sz w:val="21"/>
          <w:szCs w:val="21"/>
        </w:rPr>
        <w:t xml:space="preserve">De marketingcampagne als twijfelgeval, met de benodigde aanvullende informatie benoemd.</w:t>
      </w:r>
    </w:p>
    <w:p>
      <w:pPr>
        <w:pStyle w:val="ListParagraph"/>
        <w:numPr>
          <w:ilvl w:val="0"/>
          <w:numId w:val="2"/>
        </w:numPr>
        <w:spacing w:after="70" w:line="280"/>
      </w:pPr>
      <w:r>
        <w:rPr>
          <w:rFonts w:ascii="Calibri" w:cs="Calibri" w:eastAsia="Calibri" w:hAnsi="Calibri"/>
          <w:color w:val="0E1A1C"/>
          <w:sz w:val="21"/>
          <w:szCs w:val="21"/>
        </w:rPr>
        <w:t xml:space="preserve">Een vastgelegde verantwoording voor de verwerking waarvoor géén DPIA wordt gedaan.</w:t>
      </w:r>
    </w:p>
    <w:p>
      <w:pPr>
        <w:pStyle w:val="ListParagraph"/>
        <w:numPr>
          <w:ilvl w:val="0"/>
          <w:numId w:val="2"/>
        </w:numPr>
        <w:spacing w:after="70" w:line="280"/>
      </w:pPr>
      <w:r>
        <w:rPr>
          <w:rFonts w:ascii="Calibri" w:cs="Calibri" w:eastAsia="Calibri" w:hAnsi="Calibri"/>
          <w:color w:val="0E1A1C"/>
          <w:sz w:val="21"/>
          <w:szCs w:val="21"/>
        </w:rPr>
        <w:t xml:space="preserve">Het besluit belegd bij de verwerkingsverantwoordelijke, met vastleggingsplek.</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Bij twijfel geen DPIA doen zonder dat vast te leggen. De afweging is zelf een besluit.</w:t>
      </w:r>
    </w:p>
    <w:p>
      <w:pPr>
        <w:pStyle w:val="ListParagraph"/>
        <w:numPr>
          <w:ilvl w:val="0"/>
          <w:numId w:val="2"/>
        </w:numPr>
        <w:spacing w:after="70" w:line="280"/>
      </w:pPr>
      <w:r>
        <w:rPr>
          <w:rFonts w:ascii="Calibri" w:cs="Calibri" w:eastAsia="Calibri" w:hAnsi="Calibri"/>
          <w:color w:val="0E1A1C"/>
          <w:sz w:val="21"/>
          <w:szCs w:val="21"/>
        </w:rPr>
        <w:t xml:space="preserve">Alle verwerkingen DPIA-plichtig verklaren om veilig te zitten. Vraag wat dat kost aan doorlooptijd.</w:t>
      </w:r>
    </w:p>
    <w:p>
      <w:pPr>
        <w:pStyle w:val="ListParagraph"/>
        <w:numPr>
          <w:ilvl w:val="0"/>
          <w:numId w:val="2"/>
        </w:numPr>
        <w:spacing w:after="70" w:line="280"/>
      </w:pPr>
      <w:r>
        <w:rPr>
          <w:rFonts w:ascii="Calibri" w:cs="Calibri" w:eastAsia="Calibri" w:hAnsi="Calibri"/>
          <w:color w:val="0E1A1C"/>
          <w:sz w:val="21"/>
          <w:szCs w:val="21"/>
        </w:rPr>
        <w:t xml:space="preserve">De drie zware signalen niet gebruiken en op gevoel beoordelen.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aanvullende informatie zou jouw twijfelgeval doorslaan? En bij wie haal je die?</w:t>
            </w:r>
          </w:p>
        </w:tc>
      </w:tr>
    </w:tbl>
    <w:p>
      <w:pPr>
        <w:pStyle w:val="Heading2"/>
        <w:spacing w:after="140" w:before="340"/>
      </w:pPr>
      <w:r>
        <w:rPr>
          <w:rFonts w:ascii="Cambria" w:cs="Cambria" w:eastAsia="Cambria" w:hAnsi="Cambria"/>
          <w:b/>
          <w:bCs/>
          <w:color w:val="0E1A1C"/>
          <w:sz w:val="26"/>
          <w:szCs w:val="26"/>
        </w:rPr>
        <w:t xml:space="preserve">Opdracht 3 — DPIA uitvoeren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Systematische beschrijving inclusief gegevensstroom, niet alleen een doelomschrijving.</w:t>
      </w:r>
    </w:p>
    <w:p>
      <w:pPr>
        <w:pStyle w:val="ListParagraph"/>
        <w:numPr>
          <w:ilvl w:val="0"/>
          <w:numId w:val="2"/>
        </w:numPr>
        <w:spacing w:after="70" w:line="280"/>
      </w:pPr>
      <w:r>
        <w:rPr>
          <w:rFonts w:ascii="Calibri" w:cs="Calibri" w:eastAsia="Calibri" w:hAnsi="Calibri"/>
          <w:color w:val="0E1A1C"/>
          <w:sz w:val="21"/>
          <w:szCs w:val="21"/>
        </w:rPr>
        <w:t xml:space="preserve">Noodzaak en evenredigheid getoetst met een concreet alternatief: kan het zonder de gezondheidsgegevens?</w:t>
      </w:r>
    </w:p>
    <w:p>
      <w:pPr>
        <w:pStyle w:val="ListParagraph"/>
        <w:numPr>
          <w:ilvl w:val="0"/>
          <w:numId w:val="2"/>
        </w:numPr>
        <w:spacing w:after="70" w:line="280"/>
      </w:pPr>
      <w:r>
        <w:rPr>
          <w:rFonts w:ascii="Calibri" w:cs="Calibri" w:eastAsia="Calibri" w:hAnsi="Calibri"/>
          <w:color w:val="0E1A1C"/>
          <w:sz w:val="21"/>
          <w:szCs w:val="21"/>
        </w:rPr>
        <w:t xml:space="preserve">Vier risico’s vóór de betrokkene: onterechte beoordeling, ongewenste bekendheid bij de leidinggevende, verlies van controle, en stigmatisering bij een foutieve voorspelling.</w:t>
      </w:r>
    </w:p>
    <w:p>
      <w:pPr>
        <w:pStyle w:val="ListParagraph"/>
        <w:numPr>
          <w:ilvl w:val="0"/>
          <w:numId w:val="2"/>
        </w:numPr>
        <w:spacing w:after="70" w:line="280"/>
      </w:pPr>
      <w:r>
        <w:rPr>
          <w:rFonts w:ascii="Calibri" w:cs="Calibri" w:eastAsia="Calibri" w:hAnsi="Calibri"/>
          <w:color w:val="0E1A1C"/>
          <w:sz w:val="21"/>
          <w:szCs w:val="21"/>
        </w:rPr>
        <w:t xml:space="preserve">Maatregelen met een expliciet restrisico dat blijft staan.</w:t>
      </w:r>
    </w:p>
    <w:p>
      <w:pPr>
        <w:pStyle w:val="ListParagraph"/>
        <w:numPr>
          <w:ilvl w:val="0"/>
          <w:numId w:val="2"/>
        </w:numPr>
        <w:spacing w:after="70" w:line="280"/>
      </w:pPr>
      <w:r>
        <w:rPr>
          <w:rFonts w:ascii="Calibri" w:cs="Calibri" w:eastAsia="Calibri" w:hAnsi="Calibri"/>
          <w:color w:val="0E1A1C"/>
          <w:sz w:val="21"/>
          <w:szCs w:val="21"/>
        </w:rPr>
        <w:t xml:space="preserve">Openstaande vragen genoteerd met de persoon aan wie je ze zou stellen.</w:t>
      </w:r>
    </w:p>
    <w:p>
      <w:pPr>
        <w:pStyle w:val="ListParagraph"/>
        <w:numPr>
          <w:ilvl w:val="0"/>
          <w:numId w:val="2"/>
        </w:numPr>
        <w:spacing w:after="70" w:line="280"/>
      </w:pPr>
      <w:r>
        <w:rPr>
          <w:rFonts w:ascii="Calibri" w:cs="Calibri" w:eastAsia="Calibri" w:hAnsi="Calibri"/>
          <w:color w:val="0E1A1C"/>
          <w:sz w:val="21"/>
          <w:szCs w:val="21"/>
        </w:rPr>
        <w:t xml:space="preserve">Het onderscheid tussen FG-advies en het besluit van de verantwoordelijke.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risicoparagraaf over boetes en reputatie. Grijp direct in; dit is de kernfout van het deel.</w:t>
      </w:r>
    </w:p>
    <w:p>
      <w:pPr>
        <w:pStyle w:val="ListParagraph"/>
        <w:numPr>
          <w:ilvl w:val="0"/>
          <w:numId w:val="2"/>
        </w:numPr>
        <w:spacing w:after="70" w:line="280"/>
      </w:pPr>
      <w:r>
        <w:rPr>
          <w:rFonts w:ascii="Calibri" w:cs="Calibri" w:eastAsia="Calibri" w:hAnsi="Calibri"/>
          <w:color w:val="0E1A1C"/>
          <w:sz w:val="21"/>
          <w:szCs w:val="21"/>
        </w:rPr>
        <w:t xml:space="preserve">Alle risico’s wegschrijven met maatregelen. Er blijft altijd restrisico, en dat benoemen hoort erbij.</w:t>
      </w:r>
    </w:p>
    <w:p>
      <w:pPr>
        <w:pStyle w:val="ListParagraph"/>
        <w:numPr>
          <w:ilvl w:val="0"/>
          <w:numId w:val="2"/>
        </w:numPr>
        <w:spacing w:after="70" w:line="280"/>
      </w:pPr>
      <w:r>
        <w:rPr>
          <w:rFonts w:ascii="Calibri" w:cs="Calibri" w:eastAsia="Calibri" w:hAnsi="Calibri"/>
          <w:color w:val="0E1A1C"/>
          <w:sz w:val="21"/>
          <w:szCs w:val="21"/>
        </w:rPr>
        <w:t xml:space="preserve">Vastlopen op ontbrekende informatie en dat als mislukking zien. Noteren is het juiste antwoord.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is het ergste dat een deelnemer overkomt als dit model het fout heeft? Staat dat in je DPIA?</w:t>
            </w:r>
          </w:p>
        </w:tc>
      </w:tr>
    </w:tbl>
    <w:p>
      <w:pPr>
        <w:pStyle w:val="Heading2"/>
        <w:spacing w:after="140" w:before="340"/>
      </w:pPr>
      <w:r>
        <w:rPr>
          <w:rFonts w:ascii="Cambria" w:cs="Cambria" w:eastAsia="Cambria" w:hAnsi="Cambria"/>
          <w:b/>
          <w:bCs/>
          <w:color w:val="0E1A1C"/>
          <w:sz w:val="26"/>
          <w:szCs w:val="26"/>
        </w:rPr>
        <w:t xml:space="preserve">Opdracht 4 — Toegangsmodel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RBAC voor de stabiele datasets, ABAC of purpose-based voor de arbeidsongeschiktheidsgegevens.</w:t>
      </w:r>
    </w:p>
    <w:p>
      <w:pPr>
        <w:pStyle w:val="ListParagraph"/>
        <w:numPr>
          <w:ilvl w:val="0"/>
          <w:numId w:val="2"/>
        </w:numPr>
        <w:spacing w:after="70" w:line="280"/>
      </w:pPr>
      <w:r>
        <w:rPr>
          <w:rFonts w:ascii="Calibri" w:cs="Calibri" w:eastAsia="Calibri" w:hAnsi="Calibri"/>
          <w:color w:val="0E1A1C"/>
          <w:sz w:val="21"/>
          <w:szCs w:val="21"/>
        </w:rPr>
        <w:t xml:space="preserve">Herbeoordeling met actieve bevestiging, waarbij niets doen intrekking betekent.</w:t>
      </w:r>
    </w:p>
    <w:p>
      <w:pPr>
        <w:pStyle w:val="ListParagraph"/>
        <w:numPr>
          <w:ilvl w:val="0"/>
          <w:numId w:val="2"/>
        </w:numPr>
        <w:spacing w:after="70" w:line="280"/>
      </w:pPr>
      <w:r>
        <w:rPr>
          <w:rFonts w:ascii="Calibri" w:cs="Calibri" w:eastAsia="Calibri" w:hAnsi="Calibri"/>
          <w:color w:val="0E1A1C"/>
          <w:sz w:val="21"/>
          <w:szCs w:val="21"/>
        </w:rPr>
        <w:t xml:space="preserve">Automatisch intrekken bij functiewijziging, met opnieuw toekennen als aparte handeling.</w:t>
      </w:r>
    </w:p>
    <w:p>
      <w:pPr>
        <w:pStyle w:val="ListParagraph"/>
        <w:numPr>
          <w:ilvl w:val="0"/>
          <w:numId w:val="2"/>
        </w:numPr>
        <w:spacing w:after="70" w:line="280"/>
      </w:pPr>
      <w:r>
        <w:rPr>
          <w:rFonts w:ascii="Calibri" w:cs="Calibri" w:eastAsia="Calibri" w:hAnsi="Calibri"/>
          <w:color w:val="0E1A1C"/>
          <w:sz w:val="21"/>
          <w:szCs w:val="21"/>
        </w:rPr>
        <w:t xml:space="preserve">Logging op bijzondere gegevens mét een periodieke steekproef — logging zonder controle is opslag.</w:t>
      </w:r>
    </w:p>
    <w:p>
      <w:pPr>
        <w:pStyle w:val="ListParagraph"/>
        <w:numPr>
          <w:ilvl w:val="0"/>
          <w:numId w:val="2"/>
        </w:numPr>
        <w:spacing w:after="70" w:line="280"/>
      </w:pPr>
      <w:r>
        <w:rPr>
          <w:rFonts w:ascii="Calibri" w:cs="Calibri" w:eastAsia="Calibri" w:hAnsi="Calibri"/>
          <w:color w:val="0E1A1C"/>
          <w:sz w:val="21"/>
          <w:szCs w:val="21"/>
        </w:rPr>
        <w:t xml:space="preserve">Een uitzonderingsroute met termijn en eigenaar.</w:t>
      </w:r>
    </w:p>
    <w:p>
      <w:pPr>
        <w:pStyle w:val="ListParagraph"/>
        <w:numPr>
          <w:ilvl w:val="0"/>
          <w:numId w:val="2"/>
        </w:numPr>
        <w:spacing w:after="70" w:line="280"/>
      </w:pPr>
      <w:r>
        <w:rPr>
          <w:rFonts w:ascii="Calibri" w:cs="Calibri" w:eastAsia="Calibri" w:hAnsi="Calibri"/>
          <w:color w:val="0E1A1C"/>
          <w:sz w:val="21"/>
          <w:szCs w:val="21"/>
        </w:rPr>
        <w:t xml:space="preserve">Een antwoord op de directeursvraag dat naar het model verwijst in plaats van naar de hiërarchie.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ABAC overal toepassen. Vraag hoe je dat aan een auditor uitlegt.</w:t>
      </w:r>
    </w:p>
    <w:p>
      <w:pPr>
        <w:pStyle w:val="ListParagraph"/>
        <w:numPr>
          <w:ilvl w:val="0"/>
          <w:numId w:val="2"/>
        </w:numPr>
        <w:spacing w:after="70" w:line="280"/>
      </w:pPr>
      <w:r>
        <w:rPr>
          <w:rFonts w:ascii="Calibri" w:cs="Calibri" w:eastAsia="Calibri" w:hAnsi="Calibri"/>
          <w:color w:val="0E1A1C"/>
          <w:sz w:val="21"/>
          <w:szCs w:val="21"/>
        </w:rPr>
        <w:t xml:space="preserve">Herbeoordeling ontwerpen als passieve verlenging.</w:t>
      </w:r>
    </w:p>
    <w:p>
      <w:pPr>
        <w:pStyle w:val="ListParagraph"/>
        <w:numPr>
          <w:ilvl w:val="0"/>
          <w:numId w:val="2"/>
        </w:numPr>
        <w:spacing w:after="70" w:line="280"/>
      </w:pPr>
      <w:r>
        <w:rPr>
          <w:rFonts w:ascii="Calibri" w:cs="Calibri" w:eastAsia="Calibri" w:hAnsi="Calibri"/>
          <w:color w:val="0E1A1C"/>
          <w:sz w:val="21"/>
          <w:szCs w:val="21"/>
        </w:rPr>
        <w:t xml:space="preserve">De uitzonderingsroute weglaten; die ontstaat dan buiten je zicht.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beantwoord je "de directeur wil ook toegang" zonder je opdracht te verliezen?</w:t>
            </w:r>
          </w:p>
        </w:tc>
      </w:tr>
    </w:tbl>
    <w:p>
      <w:pPr>
        <w:pStyle w:val="Heading2"/>
        <w:spacing w:after="140" w:before="340"/>
      </w:pPr>
      <w:r>
        <w:rPr>
          <w:rFonts w:ascii="Cambria" w:cs="Cambria" w:eastAsia="Cambria" w:hAnsi="Cambria"/>
          <w:b/>
          <w:bCs/>
          <w:color w:val="0E1A1C"/>
          <w:sz w:val="26"/>
          <w:szCs w:val="26"/>
        </w:rPr>
        <w:t xml:space="preserve">Opdracht 5 — Testdata regelen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problematiek benoemd op drie punten: ander doel, ruimere toegang, lagere beveiliging.</w:t>
      </w:r>
    </w:p>
    <w:p>
      <w:pPr>
        <w:pStyle w:val="ListParagraph"/>
        <w:numPr>
          <w:ilvl w:val="0"/>
          <w:numId w:val="2"/>
        </w:numPr>
        <w:spacing w:after="70" w:line="280"/>
      </w:pPr>
      <w:r>
        <w:rPr>
          <w:rFonts w:ascii="Calibri" w:cs="Calibri" w:eastAsia="Calibri" w:hAnsi="Calibri"/>
          <w:color w:val="0E1A1C"/>
          <w:sz w:val="21"/>
          <w:szCs w:val="21"/>
        </w:rPr>
        <w:t xml:space="preserve">Randgevallen eerst geïnventariseerd, daarna pas de route gekozen.</w:t>
      </w:r>
    </w:p>
    <w:p>
      <w:pPr>
        <w:pStyle w:val="ListParagraph"/>
        <w:numPr>
          <w:ilvl w:val="0"/>
          <w:numId w:val="2"/>
        </w:numPr>
        <w:spacing w:after="70" w:line="280"/>
      </w:pPr>
      <w:r>
        <w:rPr>
          <w:rFonts w:ascii="Calibri" w:cs="Calibri" w:eastAsia="Calibri" w:hAnsi="Calibri"/>
          <w:color w:val="0E1A1C"/>
          <w:sz w:val="21"/>
          <w:szCs w:val="21"/>
        </w:rPr>
        <w:t xml:space="preserve">De ontdekking dat synthetische data de randgevallen bewust kan produceren en dus soms beter is dan productie.</w:t>
      </w:r>
    </w:p>
    <w:p>
      <w:pPr>
        <w:pStyle w:val="ListParagraph"/>
        <w:numPr>
          <w:ilvl w:val="0"/>
          <w:numId w:val="2"/>
        </w:numPr>
        <w:spacing w:after="70" w:line="280"/>
      </w:pPr>
      <w:r>
        <w:rPr>
          <w:rFonts w:ascii="Calibri" w:cs="Calibri" w:eastAsia="Calibri" w:hAnsi="Calibri"/>
          <w:color w:val="0E1A1C"/>
          <w:sz w:val="21"/>
          <w:szCs w:val="21"/>
        </w:rPr>
        <w:t xml:space="preserve">Een pseudonimiseringsontwerp per veld: vervangen, generaliseren of onderdrukken.</w:t>
      </w:r>
    </w:p>
    <w:p>
      <w:pPr>
        <w:pStyle w:val="ListParagraph"/>
        <w:numPr>
          <w:ilvl w:val="0"/>
          <w:numId w:val="2"/>
        </w:numPr>
        <w:spacing w:after="70" w:line="280"/>
      </w:pPr>
      <w:r>
        <w:rPr>
          <w:rFonts w:ascii="Calibri" w:cs="Calibri" w:eastAsia="Calibri" w:hAnsi="Calibri"/>
          <w:color w:val="0E1A1C"/>
          <w:sz w:val="21"/>
          <w:szCs w:val="21"/>
        </w:rPr>
        <w:t xml:space="preserve">Een minimale groepsgrootte vastgesteld, met de consequentie voor de regeling met vier deelnemers.</w:t>
      </w:r>
    </w:p>
    <w:p>
      <w:pPr>
        <w:pStyle w:val="ListParagraph"/>
        <w:numPr>
          <w:ilvl w:val="0"/>
          <w:numId w:val="2"/>
        </w:numPr>
        <w:spacing w:after="70" w:line="280"/>
      </w:pPr>
      <w:r>
        <w:rPr>
          <w:rFonts w:ascii="Calibri" w:cs="Calibri" w:eastAsia="Calibri" w:hAnsi="Calibri"/>
          <w:color w:val="0E1A1C"/>
          <w:sz w:val="21"/>
          <w:szCs w:val="21"/>
        </w:rPr>
        <w:t xml:space="preserve">Een besluitvoorstel op het niveau van de verwerkingsverantwoordelijke voor de laatste route.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voor een gepseudonimiseerde kopie kiezen zonder de randgevallen te inventariseren.</w:t>
      </w:r>
    </w:p>
    <w:p>
      <w:pPr>
        <w:pStyle w:val="ListParagraph"/>
        <w:numPr>
          <w:ilvl w:val="0"/>
          <w:numId w:val="2"/>
        </w:numPr>
        <w:spacing w:after="70" w:line="280"/>
      </w:pPr>
      <w:r>
        <w:rPr>
          <w:rFonts w:ascii="Calibri" w:cs="Calibri" w:eastAsia="Calibri" w:hAnsi="Calibri"/>
          <w:color w:val="0E1A1C"/>
          <w:sz w:val="21"/>
          <w:szCs w:val="21"/>
        </w:rPr>
        <w:t xml:space="preserve">Alle velden op dezelfde manier behandelen. Vervangen, generaliseren en onderdrukken zijn drie keuzes.</w:t>
      </w:r>
    </w:p>
    <w:p>
      <w:pPr>
        <w:pStyle w:val="ListParagraph"/>
        <w:numPr>
          <w:ilvl w:val="0"/>
          <w:numId w:val="2"/>
        </w:numPr>
        <w:spacing w:after="70" w:line="280"/>
      </w:pPr>
      <w:r>
        <w:rPr>
          <w:rFonts w:ascii="Calibri" w:cs="Calibri" w:eastAsia="Calibri" w:hAnsi="Calibri"/>
          <w:color w:val="0E1A1C"/>
          <w:sz w:val="21"/>
          <w:szCs w:val="21"/>
        </w:rPr>
        <w:t xml:space="preserve">Het besluit bij het migratieteam laten. Dat is geen afspraak tussen ontwikkelaars.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randgevallen wil het team testen? En kan synthetische data die beter maken dan productie?</w:t>
            </w:r>
          </w:p>
        </w:tc>
      </w:tr>
    </w:tbl>
    <w:p>
      <w:pPr>
        <w:pStyle w:val="Heading2"/>
        <w:spacing w:after="140" w:before="340"/>
      </w:pPr>
      <w:r>
        <w:rPr>
          <w:rFonts w:ascii="Cambria" w:cs="Cambria" w:eastAsia="Cambria" w:hAnsi="Cambria"/>
          <w:b/>
          <w:bCs/>
          <w:color w:val="0E1A1C"/>
          <w:sz w:val="26"/>
          <w:szCs w:val="26"/>
        </w:rPr>
        <w:t xml:space="preserve">Opdracht 6 — Toezichtseisen vertalen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Aantoonbare herkomst vertaald naar lineage op kolomniveau voor de kritieke elementen — de keuze uit deel 13.</w:t>
      </w:r>
    </w:p>
    <w:p>
      <w:pPr>
        <w:pStyle w:val="ListParagraph"/>
        <w:numPr>
          <w:ilvl w:val="0"/>
          <w:numId w:val="2"/>
        </w:numPr>
        <w:spacing w:after="70" w:line="280"/>
      </w:pPr>
      <w:r>
        <w:rPr>
          <w:rFonts w:ascii="Calibri" w:cs="Calibri" w:eastAsia="Calibri" w:hAnsi="Calibri"/>
          <w:color w:val="0E1A1C"/>
          <w:sz w:val="21"/>
          <w:szCs w:val="21"/>
        </w:rPr>
        <w:t xml:space="preserve">Nauwkeurigheid en volledigheid vertaald naar kwaliteitsregels met drempels uit deel 15.</w:t>
      </w:r>
    </w:p>
    <w:p>
      <w:pPr>
        <w:pStyle w:val="ListParagraph"/>
        <w:numPr>
          <w:ilvl w:val="0"/>
          <w:numId w:val="2"/>
        </w:numPr>
        <w:spacing w:after="70" w:line="280"/>
      </w:pPr>
      <w:r>
        <w:rPr>
          <w:rFonts w:ascii="Calibri" w:cs="Calibri" w:eastAsia="Calibri" w:hAnsi="Calibri"/>
          <w:color w:val="0E1A1C"/>
          <w:sz w:val="21"/>
          <w:szCs w:val="21"/>
        </w:rPr>
        <w:t xml:space="preserve">Tijdigheid vertaald naar monitoring op de verwerkingsketen.</w:t>
      </w:r>
    </w:p>
    <w:p>
      <w:pPr>
        <w:pStyle w:val="ListParagraph"/>
        <w:numPr>
          <w:ilvl w:val="0"/>
          <w:numId w:val="2"/>
        </w:numPr>
        <w:spacing w:after="70" w:line="280"/>
      </w:pPr>
      <w:r>
        <w:rPr>
          <w:rFonts w:ascii="Calibri" w:cs="Calibri" w:eastAsia="Calibri" w:hAnsi="Calibri"/>
          <w:color w:val="0E1A1C"/>
          <w:sz w:val="21"/>
          <w:szCs w:val="21"/>
        </w:rPr>
        <w:t xml:space="preserve">Per maatregel benoemd welk eerder deel hem levert.</w:t>
      </w:r>
    </w:p>
    <w:p>
      <w:pPr>
        <w:pStyle w:val="ListParagraph"/>
        <w:numPr>
          <w:ilvl w:val="0"/>
          <w:numId w:val="2"/>
        </w:numPr>
        <w:spacing w:after="70" w:line="280"/>
      </w:pPr>
      <w:r>
        <w:rPr>
          <w:rFonts w:ascii="Calibri" w:cs="Calibri" w:eastAsia="Calibri" w:hAnsi="Calibri"/>
          <w:color w:val="0E1A1C"/>
          <w:sz w:val="21"/>
          <w:szCs w:val="21"/>
        </w:rPr>
        <w:t xml:space="preserve">Een overlapanalyse die laat zien dat dezelfde maatregelen aan meerdere kaders voldoen.</w:t>
      </w:r>
    </w:p>
    <w:p>
      <w:pPr>
        <w:pStyle w:val="ListParagraph"/>
        <w:numPr>
          <w:ilvl w:val="0"/>
          <w:numId w:val="2"/>
        </w:numPr>
        <w:spacing w:after="70" w:line="280"/>
      </w:pPr>
      <w:r>
        <w:rPr>
          <w:rFonts w:ascii="Calibri" w:cs="Calibri" w:eastAsia="Calibri" w:hAnsi="Calibri"/>
          <w:color w:val="0E1A1C"/>
          <w:sz w:val="21"/>
          <w:szCs w:val="21"/>
        </w:rPr>
        <w:t xml:space="preserve">Een financieringsargument dat op die overlap steunt.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Per kader een apart project voorstellen. Vraag hoeveel dat kost tegenover één samenhangende aanpak.</w:t>
      </w:r>
    </w:p>
    <w:p>
      <w:pPr>
        <w:pStyle w:val="ListParagraph"/>
        <w:numPr>
          <w:ilvl w:val="0"/>
          <w:numId w:val="2"/>
        </w:numPr>
        <w:spacing w:after="70" w:line="280"/>
      </w:pPr>
      <w:r>
        <w:rPr>
          <w:rFonts w:ascii="Calibri" w:cs="Calibri" w:eastAsia="Calibri" w:hAnsi="Calibri"/>
          <w:color w:val="0E1A1C"/>
          <w:sz w:val="21"/>
          <w:szCs w:val="21"/>
        </w:rPr>
        <w:t xml:space="preserve">Maatregelen benoemen zonder herkomst uit de cursus; dan blijft het een lijst.</w:t>
      </w:r>
    </w:p>
    <w:p>
      <w:pPr>
        <w:pStyle w:val="ListParagraph"/>
        <w:numPr>
          <w:ilvl w:val="0"/>
          <w:numId w:val="2"/>
        </w:numPr>
        <w:spacing w:after="70" w:line="280"/>
      </w:pPr>
      <w:r>
        <w:rPr>
          <w:rFonts w:ascii="Calibri" w:cs="Calibri" w:eastAsia="Calibri" w:hAnsi="Calibri"/>
          <w:color w:val="0E1A1C"/>
          <w:sz w:val="21"/>
          <w:szCs w:val="21"/>
        </w:rPr>
        <w:t xml:space="preserve">De overlapanalyse overslaan — dat is het sterkste argument dat de deelnemer heeft.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maatregel voldoet in één keer aan de AVG, aan BCBS 239 en aan de DNB-verwachting?</w:t>
            </w:r>
          </w:p>
        </w:tc>
      </w:tr>
    </w:tbl>
    <w:p>
      <w:pPr>
        <w:pStyle w:val="Heading2"/>
        <w:spacing w:after="140" w:before="340"/>
      </w:pPr>
      <w:r>
        <w:rPr>
          <w:rFonts w:ascii="Cambria" w:cs="Cambria" w:eastAsia="Cambria" w:hAnsi="Cambria"/>
          <w:b/>
          <w:bCs/>
          <w:color w:val="0E1A1C"/>
          <w:sz w:val="26"/>
          <w:szCs w:val="26"/>
        </w:rPr>
        <w:t xml:space="preserve">Opdracht 7 — Privacy by design review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vijf ontwerpkeuzes beoordeeld op een echt model of een echte verwerking.</w:t>
      </w:r>
    </w:p>
    <w:p>
      <w:pPr>
        <w:pStyle w:val="ListParagraph"/>
        <w:numPr>
          <w:ilvl w:val="0"/>
          <w:numId w:val="2"/>
        </w:numPr>
        <w:spacing w:after="70" w:line="280"/>
      </w:pPr>
      <w:r>
        <w:rPr>
          <w:rFonts w:ascii="Calibri" w:cs="Calibri" w:eastAsia="Calibri" w:hAnsi="Calibri"/>
          <w:color w:val="0E1A1C"/>
          <w:sz w:val="21"/>
          <w:szCs w:val="21"/>
        </w:rPr>
        <w:t xml:space="preserve">Verwijderbaarheid concreet uitgewerkt, inclusief afgeleide datasets en back-ups.</w:t>
      </w:r>
    </w:p>
    <w:p>
      <w:pPr>
        <w:pStyle w:val="ListParagraph"/>
        <w:numPr>
          <w:ilvl w:val="0"/>
          <w:numId w:val="2"/>
        </w:numPr>
        <w:spacing w:after="70" w:line="280"/>
      </w:pPr>
      <w:r>
        <w:rPr>
          <w:rFonts w:ascii="Calibri" w:cs="Calibri" w:eastAsia="Calibri" w:hAnsi="Calibri"/>
          <w:color w:val="0E1A1C"/>
          <w:sz w:val="21"/>
          <w:szCs w:val="21"/>
        </w:rPr>
        <w:t xml:space="preserve">Onderscheid gemaakt tussen wat achteraf nog te herstellen is en wat niet.</w:t>
      </w:r>
    </w:p>
    <w:p>
      <w:pPr>
        <w:pStyle w:val="ListParagraph"/>
        <w:numPr>
          <w:ilvl w:val="0"/>
          <w:numId w:val="2"/>
        </w:numPr>
        <w:spacing w:after="70" w:line="280"/>
      </w:pPr>
      <w:r>
        <w:rPr>
          <w:rFonts w:ascii="Calibri" w:cs="Calibri" w:eastAsia="Calibri" w:hAnsi="Calibri"/>
          <w:color w:val="0E1A1C"/>
          <w:sz w:val="21"/>
          <w:szCs w:val="21"/>
        </w:rPr>
        <w:t xml:space="preserve">Drie aanbevelingen gerangschikt op onherstelbaarheid in plaats van op urgentie.</w:t>
      </w:r>
    </w:p>
    <w:p>
      <w:pPr>
        <w:pStyle w:val="ListParagraph"/>
        <w:numPr>
          <w:ilvl w:val="0"/>
          <w:numId w:val="2"/>
        </w:numPr>
        <w:spacing w:after="70" w:line="280"/>
      </w:pPr>
      <w:r>
        <w:rPr>
          <w:rFonts w:ascii="Calibri" w:cs="Calibri" w:eastAsia="Calibri" w:hAnsi="Calibri"/>
          <w:color w:val="0E1A1C"/>
          <w:sz w:val="21"/>
          <w:szCs w:val="21"/>
        </w:rPr>
        <w:t xml:space="preserve">Aanbevelingen gericht aan een aanwijsbare persoon, met een gevraagd besluit.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veilig voorbeeld kiezen waar alles al goed is geregeld.</w:t>
      </w:r>
    </w:p>
    <w:p>
      <w:pPr>
        <w:pStyle w:val="ListParagraph"/>
        <w:numPr>
          <w:ilvl w:val="0"/>
          <w:numId w:val="2"/>
        </w:numPr>
        <w:spacing w:after="70" w:line="280"/>
      </w:pPr>
      <w:r>
        <w:rPr>
          <w:rFonts w:ascii="Calibri" w:cs="Calibri" w:eastAsia="Calibri" w:hAnsi="Calibri"/>
          <w:color w:val="0E1A1C"/>
          <w:sz w:val="21"/>
          <w:szCs w:val="21"/>
        </w:rPr>
        <w:t xml:space="preserve">Verwijderbaarheid beantwoorden met "we verwijderen de rij". Vraag door naar kopieën en afgeleiden.</w:t>
      </w:r>
    </w:p>
    <w:p>
      <w:pPr>
        <w:pStyle w:val="ListParagraph"/>
        <w:numPr>
          <w:ilvl w:val="0"/>
          <w:numId w:val="2"/>
        </w:numPr>
        <w:spacing w:after="70" w:line="280"/>
      </w:pPr>
      <w:r>
        <w:rPr>
          <w:rFonts w:ascii="Calibri" w:cs="Calibri" w:eastAsia="Calibri" w:hAnsi="Calibri"/>
          <w:color w:val="0E1A1C"/>
          <w:sz w:val="21"/>
          <w:szCs w:val="21"/>
        </w:rPr>
        <w:t xml:space="preserve">Rangschikken op urgentie. Onherstelbaarheid is het krachtigere argument.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ontwerpkeuze wordt volgend jaar tien keer zo duur als je nu niets doet?</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registreer je per verwerking en niet per systeem?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Eén systeem kan meerdere verwerkingen bevatten met verschillende doelen en grondslagen.</w:t>
      </w:r>
    </w:p>
    <w:p>
      <w:pPr>
        <w:spacing w:after="40" w:line="275"/>
        <w:ind w:left="420"/>
      </w:pPr>
      <w:r>
        <w:rPr>
          <w:rFonts w:ascii="Calibri" w:cs="Calibri" w:eastAsia="Calibri" w:hAnsi="Calibri"/>
          <w:color w:val="5F7375"/>
          <w:sz w:val="19"/>
          <w:szCs w:val="19"/>
        </w:rPr>
        <w:t xml:space="preserve">Doel en grondslag horen bij de verwerking, niet bij de techniek waarin zij plaatsvindt.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de meest effectieve manier om een verwerkingsregister actueel te houden?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Laten meeliften op een bestaand proces zoals datasetacceptatie of een toegangsverzoek</w:t>
      </w:r>
    </w:p>
    <w:p>
      <w:pPr>
        <w:spacing w:after="40" w:line="275"/>
        <w:ind w:left="420"/>
      </w:pPr>
      <w:r>
        <w:rPr>
          <w:rFonts w:ascii="Calibri" w:cs="Calibri" w:eastAsia="Calibri" w:hAnsi="Calibri"/>
          <w:color w:val="5F7375"/>
          <w:sz w:val="19"/>
          <w:szCs w:val="19"/>
        </w:rPr>
        <w:t xml:space="preserve">Een register dat een eigen invulronde vraagt, veroudert. Meeliften op wat toch al gebeurt, houdt het actueel.</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is de meest gemaakte fout in een DPIA?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risico’s van de organisatie beschrijven in plaats van die van de betrokkene</w:t>
      </w:r>
    </w:p>
    <w:p>
      <w:pPr>
        <w:spacing w:after="40" w:line="275"/>
        <w:ind w:left="420"/>
      </w:pPr>
      <w:r>
        <w:rPr>
          <w:rFonts w:ascii="Calibri" w:cs="Calibri" w:eastAsia="Calibri" w:hAnsi="Calibri"/>
          <w:color w:val="5F7375"/>
          <w:sz w:val="19"/>
          <w:szCs w:val="19"/>
        </w:rPr>
        <w:t xml:space="preserve">Boetes en reputatieschade zijn organisatierisico’s. De DPIA vraagt naar onterechte uitsluiting, ongewenste bekendheid en verlies van controle.</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Waarom is de FG geen mede-auteur van de DPIA?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Dan kan hij niet meer onafhankelijk adviseren.</w:t>
      </w:r>
    </w:p>
    <w:p>
      <w:pPr>
        <w:spacing w:after="40" w:line="275"/>
        <w:ind w:left="420"/>
      </w:pPr>
      <w:r>
        <w:rPr>
          <w:rFonts w:ascii="Calibri" w:cs="Calibri" w:eastAsia="Calibri" w:hAnsi="Calibri"/>
          <w:color w:val="5F7375"/>
          <w:sz w:val="19"/>
          <w:szCs w:val="19"/>
        </w:rPr>
        <w:t xml:space="preserve">De FG adviseert en houdt toezicht; het besluit ligt bij de verwerkingsverantwoordelijke.</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Welke ontwerpkeuze wordt het vaakst onderschat?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Verwijderbaarheid ontwerpen</w:t>
      </w:r>
    </w:p>
    <w:p>
      <w:pPr>
        <w:spacing w:after="40" w:line="275"/>
        <w:ind w:left="420"/>
      </w:pPr>
      <w:r>
        <w:rPr>
          <w:rFonts w:ascii="Calibri" w:cs="Calibri" w:eastAsia="Calibri" w:hAnsi="Calibri"/>
          <w:color w:val="5F7375"/>
          <w:sz w:val="19"/>
          <w:szCs w:val="19"/>
        </w:rPr>
        <w:t xml:space="preserve">Wie dat pas bij het eerste wissingsverzoek uitzoekt, ontdekt dat het antwoord "technisch niet mogelijk" is.</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bij vrijwel elke organisatie de bottleneck bij een inzageverzoek?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vindbaarheid van alle gegevens over die persoon</w:t>
      </w:r>
    </w:p>
    <w:p>
      <w:pPr>
        <w:spacing w:after="40" w:line="275"/>
        <w:ind w:left="420"/>
      </w:pPr>
      <w:r>
        <w:rPr>
          <w:rFonts w:ascii="Calibri" w:cs="Calibri" w:eastAsia="Calibri" w:hAnsi="Calibri"/>
          <w:color w:val="5F7375"/>
          <w:sz w:val="19"/>
          <w:szCs w:val="19"/>
        </w:rPr>
        <w:t xml:space="preserve">Dat is geen juridisch maar een datamanagementprobleem: catalogus en lineage bepalen of het dagen of weken kost.</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de zwakte van RBAC bij veel uitzonderingen?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Rolexplosie: elke uitzondering wordt een nieuwe rol.</w:t>
      </w:r>
    </w:p>
    <w:p>
      <w:pPr>
        <w:spacing w:after="40" w:line="275"/>
        <w:ind w:left="420"/>
      </w:pPr>
      <w:r>
        <w:rPr>
          <w:rFonts w:ascii="Calibri" w:cs="Calibri" w:eastAsia="Calibri" w:hAnsi="Calibri"/>
          <w:color w:val="5F7375"/>
          <w:sz w:val="19"/>
          <w:szCs w:val="19"/>
        </w:rPr>
        <w:t xml:space="preserve">ABAC lost dat op door rechten uit attributen af te leiden, maar is lastiger uit te leggen en te auditen.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maakt een herbeoordeling van toegang waardeloos?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niets doen betekent dat rechten blijven</w:t>
      </w:r>
    </w:p>
    <w:p>
      <w:pPr>
        <w:spacing w:after="40" w:line="275"/>
        <w:ind w:left="420"/>
      </w:pPr>
      <w:r>
        <w:rPr>
          <w:rFonts w:ascii="Calibri" w:cs="Calibri" w:eastAsia="Calibri" w:hAnsi="Calibri"/>
          <w:color w:val="5F7375"/>
          <w:sz w:val="19"/>
          <w:szCs w:val="19"/>
        </w:rPr>
        <w:t xml:space="preserve">Actieve bevestiging is de kern; passieve verlenging is geen herbeoordeling.</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Een dataset heet geanonimiseerd. Wanneer is dat waarschijnlijk onjuist?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er ergens een sleuteltabel bestaat, of als combinaties van kenmerken naar één persoon leiden</w:t>
      </w:r>
    </w:p>
    <w:p>
      <w:pPr>
        <w:spacing w:after="40" w:line="275"/>
        <w:ind w:left="420"/>
      </w:pPr>
      <w:r>
        <w:rPr>
          <w:rFonts w:ascii="Calibri" w:cs="Calibri" w:eastAsia="Calibri" w:hAnsi="Calibri"/>
          <w:color w:val="5F7375"/>
          <w:sz w:val="19"/>
          <w:szCs w:val="19"/>
        </w:rPr>
        <w:t xml:space="preserve">Geboortejaar, postcode en regeling samen kunnen één persoon opleveren zonder dat er een naam in staat.</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de voorkeursroute voor testdata?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Synthetische data die vorm en randgevallen nabootst</w:t>
      </w:r>
    </w:p>
    <w:p>
      <w:pPr>
        <w:spacing w:after="40" w:line="275"/>
        <w:ind w:left="420"/>
      </w:pPr>
      <w:r>
        <w:rPr>
          <w:rFonts w:ascii="Calibri" w:cs="Calibri" w:eastAsia="Calibri" w:hAnsi="Calibri"/>
          <w:color w:val="5F7375"/>
          <w:sz w:val="19"/>
          <w:szCs w:val="19"/>
        </w:rPr>
        <w:t xml:space="preserve">Vaak kan synthetische data de randgevallen zelfs beter produceren, omdat je zeldzame combinaties bewust kunt maken.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hebben AVG, NIS2, BCBS 239 en de DNB-verwachtingen gemeen?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Ze vragen alle om herkomst, aantoonbare juistheid en zichtbare besluitvorming.</w:t>
      </w:r>
    </w:p>
    <w:p>
      <w:pPr>
        <w:spacing w:after="40" w:line="275"/>
        <w:ind w:left="420"/>
      </w:pPr>
      <w:r>
        <w:rPr>
          <w:rFonts w:ascii="Calibri" w:cs="Calibri" w:eastAsia="Calibri" w:hAnsi="Calibri"/>
          <w:color w:val="5F7375"/>
          <w:sz w:val="19"/>
          <w:szCs w:val="19"/>
        </w:rPr>
        <w:t xml:space="preserve">Wie lineage, kwaliteitsmeting en besluitrechten op orde heeft, voldoet grotendeels aan alle tegelijk — dat is het financieringsargument.</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De data staat in een Europees datacenter, maar een supportteam buiten de EER heeft toegang. Wat betekent dat?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Toegang vanuit een derde land telt ook als doorgifte en vraagt beoordeling.</w:t>
      </w:r>
    </w:p>
    <w:p>
      <w:pPr>
        <w:spacing w:after="40" w:line="275"/>
        <w:ind w:left="420"/>
      </w:pPr>
      <w:r>
        <w:rPr>
          <w:rFonts w:ascii="Calibri" w:cs="Calibri" w:eastAsia="Calibri" w:hAnsi="Calibri"/>
          <w:color w:val="5F7375"/>
          <w:sz w:val="19"/>
          <w:szCs w:val="19"/>
        </w:rPr>
        <w:t xml:space="preserve">De fysieke locatie van de opslag is niet de enige vraag; toegang is dat evenzeer.</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privacy een rem op datagebruik of een ontwerpeis die betere systemen oplevert?</w:t>
      </w:r>
    </w:p>
    <w:p>
      <w:pPr>
        <w:pStyle w:val="ListParagraph"/>
        <w:numPr>
          <w:ilvl w:val="0"/>
          <w:numId w:val="3"/>
        </w:numPr>
        <w:spacing w:after="70" w:line="280"/>
      </w:pPr>
      <w:r>
        <w:rPr>
          <w:rFonts w:ascii="Calibri" w:cs="Calibri" w:eastAsia="Calibri" w:hAnsi="Calibri"/>
          <w:color w:val="0E1A1C"/>
          <w:sz w:val="21"/>
          <w:szCs w:val="21"/>
        </w:rPr>
        <w:t xml:space="preserve">Zou een pensioenuitvoerder een verzuimrisicomodel mogen bouwen als het aantoonbaar werkt?</w:t>
      </w:r>
    </w:p>
    <w:p>
      <w:pPr>
        <w:pStyle w:val="ListParagraph"/>
        <w:numPr>
          <w:ilvl w:val="0"/>
          <w:numId w:val="3"/>
        </w:numPr>
        <w:spacing w:after="70" w:line="280"/>
      </w:pPr>
      <w:r>
        <w:rPr>
          <w:rFonts w:ascii="Calibri" w:cs="Calibri" w:eastAsia="Calibri" w:hAnsi="Calibri"/>
          <w:color w:val="0E1A1C"/>
          <w:sz w:val="21"/>
          <w:szCs w:val="21"/>
        </w:rPr>
        <w:t xml:space="preserve">Wie draagt de verantwoordelijkheid als verwijderen technisch onmogelijk blijkt: de architect van toen of de eigenaar van nu?</w:t>
      </w:r>
    </w:p>
    <w:p>
      <w:pPr>
        <w:pStyle w:val="ListParagraph"/>
        <w:numPr>
          <w:ilvl w:val="0"/>
          <w:numId w:val="3"/>
        </w:numPr>
        <w:spacing w:after="70" w:line="280"/>
      </w:pPr>
      <w:r>
        <w:rPr>
          <w:rFonts w:ascii="Calibri" w:cs="Calibri" w:eastAsia="Calibri" w:hAnsi="Calibri"/>
          <w:color w:val="0E1A1C"/>
          <w:sz w:val="21"/>
          <w:szCs w:val="21"/>
        </w:rPr>
        <w:t xml:space="preserve">Moet een organisatie betrokkenen betrekken bij een DPIA? Wat zou dat opleveren en wat kost het?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ook de verwerkersketen uitwerken: welke partijen raken deze gegevens en welke subverwerkers zijn er?</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toegangsmatrix op te stellen die met purpose-based access werkt en te beoordelen of het verwerkingsregister dat aankan.</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de EU Data Act: welke exitvoorwaarden zou je in het cloudcontract willen?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de beschrijving en twee risico’s.</w:t>
      </w:r>
    </w:p>
    <w:p>
      <w:pPr>
        <w:pStyle w:val="ListParagraph"/>
        <w:numPr>
          <w:ilvl w:val="0"/>
          <w:numId w:val="2"/>
        </w:numPr>
        <w:spacing w:after="70" w:line="280"/>
      </w:pPr>
      <w:r>
        <w:rPr>
          <w:rFonts w:ascii="Calibri" w:cs="Calibri" w:eastAsia="Calibri" w:hAnsi="Calibri"/>
          <w:color w:val="0E1A1C"/>
          <w:sz w:val="21"/>
          <w:szCs w:val="21"/>
        </w:rPr>
        <w:t xml:space="preserve">Geef bij opdracht 4 het model voor twee datasets voor; de overige drie zijn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6 alleen de eis van aantoonbare herkomst vertalen.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de AVG-artikelen kennen?"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Je moet weten wanneer je ontwerp een juridische vraag oproept en aan wie je die stelt. Op het examen telt de DMBOK-terminologie.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nu wel of niet met productiedata testen?"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zonder maatregelen. Er zijn drie routes; de laatste vraagt een besluit van de verwerkingsverantwoordelijke, geen afspraak tussen ontwikkelaars.</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doet de DPIA?"</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proceseigenaar is verantwoordelijk, met de data owner en security als bijdragers. De FG adviseert en is geen mede-auteur.</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CIPP/E nodig voor dit werk?"</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maar het helpt als je veel privacywerk doet. Het is een apart examen met eigen kosten; dit deel is de praktijkbasis, geen examentraining.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 Dat geldt ook voor CIPP/E.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17 — Privacy, security en compliance in uitvoering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security en compliance in uitvoering — Docentenhandleiding</dc:title>
  <dc:creator>Ductus B.V.</dc:creator>
  <dc:description>Cursusmateriaal datamanagement, data-analyse en data governance</dc:description>
  <cp:lastModifiedBy>Un-named</cp:lastModifiedBy>
  <cp:revision>1</cp:revision>
  <dcterms:created xsi:type="dcterms:W3CDTF">2026-08-05T10:35:03.815Z</dcterms:created>
  <dcterms:modified xsi:type="dcterms:W3CDTF">2026-08-05T10:35:03.815Z</dcterms:modified>
</cp:coreProperties>
</file>

<file path=docProps/custom.xml><?xml version="1.0" encoding="utf-8"?>
<Properties xmlns="http://schemas.openxmlformats.org/officeDocument/2006/custom-properties" xmlns:vt="http://schemas.openxmlformats.org/officeDocument/2006/docPropsVTypes"/>
</file>