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18</w:t>
      </w:r>
    </w:p>
    <w:p>
      <w:pPr>
        <w:spacing w:after="120"/>
      </w:pPr>
      <w:r>
        <w:rPr>
          <w:rFonts w:ascii="Cambria" w:cs="Cambria" w:eastAsia="Cambria" w:hAnsi="Cambria"/>
          <w:b/>
          <w:bCs/>
          <w:color w:val="0E1A1C"/>
          <w:sz w:val="56"/>
          <w:szCs w:val="56"/>
        </w:rPr>
        <w:t xml:space="preserve">Data-analyse voor besluitvorming</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6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Oefendatabase, Simpson-dataset, experimentopzetformulier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18 gelezen; deel 5 en 15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met werkende toegang tot de oefendatabase, en één eigen analyse meegenomen.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Simpson-dataset voor opdracht 5: responscijfers digitaal versus papier, totaal en uitgesplitst naar vier bedrijfsgroottecategorieën, zo opgebouwd dat digitaal in het totaal verliest en in elke categorie wint.</w:t>
      </w:r>
    </w:p>
    <w:p>
      <w:pPr>
        <w:pStyle w:val="ListParagraph"/>
        <w:numPr>
          <w:ilvl w:val="0"/>
          <w:numId w:val="2"/>
        </w:numPr>
        <w:spacing w:after="70" w:line="280"/>
      </w:pPr>
      <w:r>
        <w:rPr>
          <w:rFonts w:ascii="Calibri" w:cs="Calibri" w:eastAsia="Calibri" w:hAnsi="Calibri"/>
          <w:color w:val="0E1A1C"/>
          <w:sz w:val="21"/>
          <w:szCs w:val="21"/>
        </w:rPr>
        <w:t xml:space="preserve">Een experimentopzetformulier met de zes ontwerpbeslissingen als verplichte velden.</w:t>
      </w:r>
    </w:p>
    <w:p>
      <w:pPr>
        <w:pStyle w:val="ListParagraph"/>
        <w:numPr>
          <w:ilvl w:val="0"/>
          <w:numId w:val="2"/>
        </w:numPr>
        <w:spacing w:after="70" w:line="280"/>
      </w:pPr>
      <w:r>
        <w:rPr>
          <w:rFonts w:ascii="Calibri" w:cs="Calibri" w:eastAsia="Calibri" w:hAnsi="Calibri"/>
          <w:color w:val="0E1A1C"/>
          <w:sz w:val="21"/>
          <w:szCs w:val="21"/>
        </w:rPr>
        <w:t xml:space="preserve">Premie-inkomsten per kwartaal over vijf jaar voor opdracht 6, met een lichte trend en een duidelijk kwartaalpatroon.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5 leerde afgebakende vragen beantwoorden; dit deel begint bij de bestuurlijke vraag. Samen met deel 19 dekt het de zes CBDA-domeinen. Deel 28 gaat verder met causale inferentie voor situaties waarin experimenteren niet kan. De analysevaardigheid komt terug in de capstone van deel 21.</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van vraag naar beslisregel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"moeten we investeren in het portaal?" en laat de onderzoeksvraag zoeken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Bronbeoordeling, bespreking opdracht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het antwoord "niet met deze bronnen"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0:40–2:10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SQL gevorderd</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de EXCEPT-query is het aha-moment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2:25–3:35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A/B-test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randomisatie-eenheid af vóór de steekproefberekening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3:35–4:35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Simpson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uitleg van vier zinnen is de eigenlijke opdracht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4:35–5:35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forecast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het naïeve model winnen als dat zo is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5:35–6:00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onzekerheid rapporteren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Van vraag naar hypothese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elementen per vraag, met een beslisregel in getallen.</w:t>
      </w:r>
    </w:p>
    <w:p>
      <w:pPr>
        <w:pStyle w:val="ListParagraph"/>
        <w:numPr>
          <w:ilvl w:val="0"/>
          <w:numId w:val="2"/>
        </w:numPr>
        <w:spacing w:after="70" w:line="280"/>
      </w:pPr>
      <w:r>
        <w:rPr>
          <w:rFonts w:ascii="Calibri" w:cs="Calibri" w:eastAsia="Calibri" w:hAnsi="Calibri"/>
          <w:color w:val="0E1A1C"/>
          <w:sz w:val="21"/>
          <w:szCs w:val="21"/>
        </w:rPr>
        <w:t xml:space="preserve">Verwijzing naar het begrippenkader, of de vaststelling dat de definitie ontbreekt.</w:t>
      </w:r>
    </w:p>
    <w:p>
      <w:pPr>
        <w:pStyle w:val="ListParagraph"/>
        <w:numPr>
          <w:ilvl w:val="0"/>
          <w:numId w:val="2"/>
        </w:numPr>
        <w:spacing w:after="70" w:line="280"/>
      </w:pPr>
      <w:r>
        <w:rPr>
          <w:rFonts w:ascii="Calibri" w:cs="Calibri" w:eastAsia="Calibri" w:hAnsi="Calibri"/>
          <w:color w:val="0E1A1C"/>
          <w:sz w:val="21"/>
          <w:szCs w:val="21"/>
        </w:rPr>
        <w:t xml:space="preserve">De derde vraag herkend als besluitvraag, met de onderliggende onderzoeksvraag geformuleerd.</w:t>
      </w:r>
    </w:p>
    <w:p>
      <w:pPr>
        <w:pStyle w:val="ListParagraph"/>
        <w:numPr>
          <w:ilvl w:val="0"/>
          <w:numId w:val="2"/>
        </w:numPr>
        <w:spacing w:after="70" w:line="280"/>
      </w:pPr>
      <w:r>
        <w:rPr>
          <w:rFonts w:ascii="Calibri" w:cs="Calibri" w:eastAsia="Calibri" w:hAnsi="Calibri"/>
          <w:color w:val="0E1A1C"/>
          <w:sz w:val="21"/>
          <w:szCs w:val="21"/>
        </w:rPr>
        <w:t xml:space="preserve">Een vraag aangewezen die geen analyse nodig heeft omdat elk antwoord tot hetzelfde besluit leidt.</w:t>
      </w:r>
    </w:p>
    <w:p>
      <w:pPr>
        <w:pStyle w:val="ListParagraph"/>
        <w:numPr>
          <w:ilvl w:val="0"/>
          <w:numId w:val="2"/>
        </w:numPr>
        <w:spacing w:after="70" w:line="280"/>
      </w:pPr>
      <w:r>
        <w:rPr>
          <w:rFonts w:ascii="Calibri" w:cs="Calibri" w:eastAsia="Calibri" w:hAnsi="Calibri"/>
          <w:color w:val="0E1A1C"/>
          <w:sz w:val="21"/>
          <w:szCs w:val="21"/>
        </w:rPr>
        <w:t xml:space="preserve">Een concrete route om de beslisregel bevestigd te krijgen, bij voorkeur schriftelijk.</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Beslisregels formuleren als "we kijken dan verder". Vraag om een getal.</w:t>
      </w:r>
    </w:p>
    <w:p>
      <w:pPr>
        <w:pStyle w:val="ListParagraph"/>
        <w:numPr>
          <w:ilvl w:val="0"/>
          <w:numId w:val="2"/>
        </w:numPr>
        <w:spacing w:after="70" w:line="280"/>
      </w:pPr>
      <w:r>
        <w:rPr>
          <w:rFonts w:ascii="Calibri" w:cs="Calibri" w:eastAsia="Calibri" w:hAnsi="Calibri"/>
          <w:color w:val="0E1A1C"/>
          <w:sz w:val="21"/>
          <w:szCs w:val="21"/>
        </w:rPr>
        <w:t xml:space="preserve">De maat definiëren zonder naar het begrippenkader te kijken.</w:t>
      </w:r>
    </w:p>
    <w:p>
      <w:pPr>
        <w:pStyle w:val="ListParagraph"/>
        <w:numPr>
          <w:ilvl w:val="0"/>
          <w:numId w:val="2"/>
        </w:numPr>
        <w:spacing w:after="70" w:line="280"/>
      </w:pPr>
      <w:r>
        <w:rPr>
          <w:rFonts w:ascii="Calibri" w:cs="Calibri" w:eastAsia="Calibri" w:hAnsi="Calibri"/>
          <w:color w:val="0E1A1C"/>
          <w:sz w:val="21"/>
          <w:szCs w:val="21"/>
        </w:rPr>
        <w:t xml:space="preserve">Alle drie de vragen analyseerbaar verklaren; minstens één verdient een nee.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 drie zou je terugleggen bij de opdrachtgever, en met welke zin?</w:t>
            </w:r>
          </w:p>
        </w:tc>
      </w:tr>
    </w:tbl>
    <w:p>
      <w:pPr>
        <w:pStyle w:val="Heading2"/>
        <w:spacing w:after="140" w:before="340"/>
      </w:pPr>
      <w:r>
        <w:rPr>
          <w:rFonts w:ascii="Cambria" w:cs="Cambria" w:eastAsia="Cambria" w:hAnsi="Cambria"/>
          <w:b/>
          <w:bCs/>
          <w:color w:val="0E1A1C"/>
          <w:sz w:val="26"/>
          <w:szCs w:val="26"/>
        </w:rPr>
        <w:t xml:space="preserve">Opdracht 2 — Bronbeoordeling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vijf punten behandeld, met onderscheid tussen weten, vermoeden en navragen.</w:t>
      </w:r>
    </w:p>
    <w:p>
      <w:pPr>
        <w:pStyle w:val="ListParagraph"/>
        <w:numPr>
          <w:ilvl w:val="0"/>
          <w:numId w:val="2"/>
        </w:numPr>
        <w:spacing w:after="70" w:line="280"/>
      </w:pPr>
      <w:r>
        <w:rPr>
          <w:rFonts w:ascii="Calibri" w:cs="Calibri" w:eastAsia="Calibri" w:hAnsi="Calibri"/>
          <w:color w:val="0E1A1C"/>
          <w:sz w:val="21"/>
          <w:szCs w:val="21"/>
        </w:rPr>
        <w:t xml:space="preserve">De dekking gekwantificeerd: 4,2 procent ontbreekt en die groep verschilt systematisch.</w:t>
      </w:r>
    </w:p>
    <w:p>
      <w:pPr>
        <w:pStyle w:val="ListParagraph"/>
        <w:numPr>
          <w:ilvl w:val="0"/>
          <w:numId w:val="2"/>
        </w:numPr>
        <w:spacing w:after="70" w:line="280"/>
      </w:pPr>
      <w:r>
        <w:rPr>
          <w:rFonts w:ascii="Calibri" w:cs="Calibri" w:eastAsia="Calibri" w:hAnsi="Calibri"/>
          <w:color w:val="0E1A1C"/>
          <w:sz w:val="21"/>
          <w:szCs w:val="21"/>
        </w:rPr>
        <w:t xml:space="preserve">De definitievraag gekoppeld aan de vier varianten uit niveau 1.</w:t>
      </w:r>
    </w:p>
    <w:p>
      <w:pPr>
        <w:pStyle w:val="ListParagraph"/>
        <w:numPr>
          <w:ilvl w:val="0"/>
          <w:numId w:val="2"/>
        </w:numPr>
        <w:spacing w:after="70" w:line="280"/>
      </w:pPr>
      <w:r>
        <w:rPr>
          <w:rFonts w:ascii="Calibri" w:cs="Calibri" w:eastAsia="Calibri" w:hAnsi="Calibri"/>
          <w:color w:val="0E1A1C"/>
          <w:sz w:val="21"/>
          <w:szCs w:val="21"/>
        </w:rPr>
        <w:t xml:space="preserve">Een expliciet oordeel over haalbaarheid, inclusief de mogelijkheid van nee.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bronbeoordeling in het hoofd houden en niet uitschrijven. Zonder vastlegging is de analyse niet te beoordelen.</w:t>
      </w:r>
    </w:p>
    <w:p>
      <w:pPr>
        <w:pStyle w:val="ListParagraph"/>
        <w:numPr>
          <w:ilvl w:val="0"/>
          <w:numId w:val="2"/>
        </w:numPr>
        <w:spacing w:after="70" w:line="280"/>
      </w:pPr>
      <w:r>
        <w:rPr>
          <w:rFonts w:ascii="Calibri" w:cs="Calibri" w:eastAsia="Calibri" w:hAnsi="Calibri"/>
          <w:color w:val="0E1A1C"/>
          <w:sz w:val="21"/>
          <w:szCs w:val="21"/>
        </w:rPr>
        <w:t xml:space="preserve">Dekking beschrijven zonder te kwantificeren.</w:t>
      </w:r>
    </w:p>
    <w:p>
      <w:pPr>
        <w:pStyle w:val="ListParagraph"/>
        <w:numPr>
          <w:ilvl w:val="0"/>
          <w:numId w:val="2"/>
        </w:numPr>
        <w:spacing w:after="70" w:line="280"/>
      </w:pPr>
      <w:r>
        <w:rPr>
          <w:rFonts w:ascii="Calibri" w:cs="Calibri" w:eastAsia="Calibri" w:hAnsi="Calibri"/>
          <w:color w:val="0E1A1C"/>
          <w:sz w:val="21"/>
          <w:szCs w:val="21"/>
        </w:rPr>
        <w:t xml:space="preserve">Doorgaan terwijl de bronnen de vraag niet kunnen dragen.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Zou je deze analyse aannemen als je wist dat je hem niet kunt beantwoorden? Wat zeg je dan?</w:t>
            </w:r>
          </w:p>
        </w:tc>
      </w:tr>
    </w:tbl>
    <w:p>
      <w:pPr>
        <w:pStyle w:val="Heading2"/>
        <w:spacing w:after="140" w:before="340"/>
      </w:pPr>
      <w:r>
        <w:rPr>
          <w:rFonts w:ascii="Cambria" w:cs="Cambria" w:eastAsia="Cambria" w:hAnsi="Cambria"/>
          <w:b/>
          <w:bCs/>
          <w:color w:val="0E1A1C"/>
          <w:sz w:val="26"/>
          <w:szCs w:val="26"/>
        </w:rPr>
        <w:t xml:space="preserve">Opdracht 3 — SQL gevorderd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CTE’s die elk apart uitvoerbaar en controleerbaar zijn.</w:t>
      </w:r>
    </w:p>
    <w:p>
      <w:pPr>
        <w:pStyle w:val="ListParagraph"/>
        <w:numPr>
          <w:ilvl w:val="0"/>
          <w:numId w:val="2"/>
        </w:numPr>
        <w:spacing w:after="70" w:line="280"/>
      </w:pPr>
      <w:r>
        <w:rPr>
          <w:rFonts w:ascii="Calibri" w:cs="Calibri" w:eastAsia="Calibri" w:hAnsi="Calibri"/>
          <w:color w:val="0E1A1C"/>
          <w:sz w:val="21"/>
          <w:szCs w:val="21"/>
        </w:rPr>
        <w:t xml:space="preserve">ROW_NUMBER correct met PARTITION BY en ORDER BY.</w:t>
      </w:r>
    </w:p>
    <w:p>
      <w:pPr>
        <w:pStyle w:val="ListParagraph"/>
        <w:numPr>
          <w:ilvl w:val="0"/>
          <w:numId w:val="2"/>
        </w:numPr>
        <w:spacing w:after="70" w:line="280"/>
      </w:pPr>
      <w:r>
        <w:rPr>
          <w:rFonts w:ascii="Calibri" w:cs="Calibri" w:eastAsia="Calibri" w:hAnsi="Calibri"/>
          <w:color w:val="0E1A1C"/>
          <w:sz w:val="21"/>
          <w:szCs w:val="21"/>
        </w:rPr>
        <w:t xml:space="preserve">SUM OVER gebruikt zonder join — dat is het inzicht van de opdracht.</w:t>
      </w:r>
    </w:p>
    <w:p>
      <w:pPr>
        <w:pStyle w:val="ListParagraph"/>
        <w:numPr>
          <w:ilvl w:val="0"/>
          <w:numId w:val="2"/>
        </w:numPr>
        <w:spacing w:after="70" w:line="280"/>
      </w:pPr>
      <w:r>
        <w:rPr>
          <w:rFonts w:ascii="Calibri" w:cs="Calibri" w:eastAsia="Calibri" w:hAnsi="Calibri"/>
          <w:color w:val="0E1A1C"/>
          <w:sz w:val="21"/>
          <w:szCs w:val="21"/>
        </w:rPr>
        <w:t xml:space="preserve">EXCEPT toegepast op de twee selecties, met een uitkomst die overeenkomt met de handmatige vondst uit deel 5.</w:t>
      </w:r>
    </w:p>
    <w:p>
      <w:pPr>
        <w:pStyle w:val="ListParagraph"/>
        <w:numPr>
          <w:ilvl w:val="0"/>
          <w:numId w:val="2"/>
        </w:numPr>
        <w:spacing w:after="70" w:line="280"/>
      </w:pPr>
      <w:r>
        <w:rPr>
          <w:rFonts w:ascii="Calibri" w:cs="Calibri" w:eastAsia="Calibri" w:hAnsi="Calibri"/>
          <w:color w:val="0E1A1C"/>
          <w:sz w:val="21"/>
          <w:szCs w:val="21"/>
        </w:rPr>
        <w:t xml:space="preserve">Rijentellingen voor en na elke stap.</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query van vijftig regels zonder CTE’s. Vraag hoe een collega die zou reviewen.</w:t>
      </w:r>
    </w:p>
    <w:p>
      <w:pPr>
        <w:pStyle w:val="ListParagraph"/>
        <w:numPr>
          <w:ilvl w:val="0"/>
          <w:numId w:val="2"/>
        </w:numPr>
        <w:spacing w:after="70" w:line="280"/>
      </w:pPr>
      <w:r>
        <w:rPr>
          <w:rFonts w:ascii="Calibri" w:cs="Calibri" w:eastAsia="Calibri" w:hAnsi="Calibri"/>
          <w:color w:val="0E1A1C"/>
          <w:sz w:val="21"/>
          <w:szCs w:val="21"/>
        </w:rPr>
        <w:t xml:space="preserve">ROW_NUMBER zonder PARTITION BY.</w:t>
      </w:r>
    </w:p>
    <w:p>
      <w:pPr>
        <w:pStyle w:val="ListParagraph"/>
        <w:numPr>
          <w:ilvl w:val="0"/>
          <w:numId w:val="2"/>
        </w:numPr>
        <w:spacing w:after="70" w:line="280"/>
      </w:pPr>
      <w:r>
        <w:rPr>
          <w:rFonts w:ascii="Calibri" w:cs="Calibri" w:eastAsia="Calibri" w:hAnsi="Calibri"/>
          <w:color w:val="0E1A1C"/>
          <w:sz w:val="21"/>
          <w:szCs w:val="21"/>
        </w:rPr>
        <w:t xml:space="preserve">Een join gebruiken waar een window function volstaat.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Kan een collega jouw query in tien minuten controleren? Zo niet, wat verander je?</w:t>
            </w:r>
          </w:p>
        </w:tc>
      </w:tr>
    </w:tbl>
    <w:p>
      <w:pPr>
        <w:pStyle w:val="Heading2"/>
        <w:spacing w:after="140" w:before="340"/>
      </w:pPr>
      <w:r>
        <w:rPr>
          <w:rFonts w:ascii="Cambria" w:cs="Cambria" w:eastAsia="Cambria" w:hAnsi="Cambria"/>
          <w:b/>
          <w:bCs/>
          <w:color w:val="0E1A1C"/>
          <w:sz w:val="26"/>
          <w:szCs w:val="26"/>
        </w:rPr>
        <w:t xml:space="preserve">Opdracht 4 — A/B-test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werkgever als randomisatie-eenheid, met de erkenning dat de effectieve steekproef daardoor veel kleiner is.</w:t>
      </w:r>
    </w:p>
    <w:p>
      <w:pPr>
        <w:pStyle w:val="ListParagraph"/>
        <w:numPr>
          <w:ilvl w:val="0"/>
          <w:numId w:val="2"/>
        </w:numPr>
        <w:spacing w:after="70" w:line="280"/>
      </w:pPr>
      <w:r>
        <w:rPr>
          <w:rFonts w:ascii="Calibri" w:cs="Calibri" w:eastAsia="Calibri" w:hAnsi="Calibri"/>
          <w:color w:val="0E1A1C"/>
          <w:sz w:val="21"/>
          <w:szCs w:val="21"/>
        </w:rPr>
        <w:t xml:space="preserve">Eén primaire uitkomstmaat, met de rest expliciet als verkennend.</w:t>
      </w:r>
    </w:p>
    <w:p>
      <w:pPr>
        <w:pStyle w:val="ListParagraph"/>
        <w:numPr>
          <w:ilvl w:val="0"/>
          <w:numId w:val="2"/>
        </w:numPr>
        <w:spacing w:after="70" w:line="280"/>
      </w:pPr>
      <w:r>
        <w:rPr>
          <w:rFonts w:ascii="Calibri" w:cs="Calibri" w:eastAsia="Calibri" w:hAnsi="Calibri"/>
          <w:color w:val="0E1A1C"/>
          <w:sz w:val="21"/>
          <w:szCs w:val="21"/>
        </w:rPr>
        <w:t xml:space="preserve">Een steekproefberekening of een beredeneerde schatting op grond van het kleinste relevante effect.</w:t>
      </w:r>
    </w:p>
    <w:p>
      <w:pPr>
        <w:pStyle w:val="ListParagraph"/>
        <w:numPr>
          <w:ilvl w:val="0"/>
          <w:numId w:val="2"/>
        </w:numPr>
        <w:spacing w:after="70" w:line="280"/>
      </w:pPr>
      <w:r>
        <w:rPr>
          <w:rFonts w:ascii="Calibri" w:cs="Calibri" w:eastAsia="Calibri" w:hAnsi="Calibri"/>
          <w:color w:val="0E1A1C"/>
          <w:sz w:val="21"/>
          <w:szCs w:val="21"/>
        </w:rPr>
        <w:t xml:space="preserve">Looptijd vooraf vastgelegd, met een stopregel bij schade.</w:t>
      </w:r>
    </w:p>
    <w:p>
      <w:pPr>
        <w:pStyle w:val="ListParagraph"/>
        <w:numPr>
          <w:ilvl w:val="0"/>
          <w:numId w:val="2"/>
        </w:numPr>
        <w:spacing w:after="70" w:line="280"/>
      </w:pPr>
      <w:r>
        <w:rPr>
          <w:rFonts w:ascii="Calibri" w:cs="Calibri" w:eastAsia="Calibri" w:hAnsi="Calibri"/>
          <w:color w:val="0E1A1C"/>
          <w:sz w:val="21"/>
          <w:szCs w:val="21"/>
        </w:rPr>
        <w:t xml:space="preserve">Een expliciete uitspraak over wat er gebeurt bij een niet-significant resultaat.</w:t>
      </w:r>
    </w:p>
    <w:p>
      <w:pPr>
        <w:pStyle w:val="ListParagraph"/>
        <w:numPr>
          <w:ilvl w:val="0"/>
          <w:numId w:val="2"/>
        </w:numPr>
        <w:spacing w:after="70" w:line="280"/>
      </w:pPr>
      <w:r>
        <w:rPr>
          <w:rFonts w:ascii="Calibri" w:cs="Calibri" w:eastAsia="Calibri" w:hAnsi="Calibri"/>
          <w:color w:val="0E1A1C"/>
          <w:sz w:val="21"/>
          <w:szCs w:val="21"/>
        </w:rPr>
        <w:t xml:space="preserve">Drie faalscenario’s die over het ontwerp gaan, niet over de uitvoering.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Randomiseren op deelnemer terwijl de brief per werkgever gaat.</w:t>
      </w:r>
    </w:p>
    <w:p>
      <w:pPr>
        <w:pStyle w:val="ListParagraph"/>
        <w:numPr>
          <w:ilvl w:val="0"/>
          <w:numId w:val="2"/>
        </w:numPr>
        <w:spacing w:after="70" w:line="280"/>
      </w:pPr>
      <w:r>
        <w:rPr>
          <w:rFonts w:ascii="Calibri" w:cs="Calibri" w:eastAsia="Calibri" w:hAnsi="Calibri"/>
          <w:color w:val="0E1A1C"/>
          <w:sz w:val="21"/>
          <w:szCs w:val="21"/>
        </w:rPr>
        <w:t xml:space="preserve">Vijf uitkomstmaten zonder onderscheid tussen primair en secundair.</w:t>
      </w:r>
    </w:p>
    <w:p>
      <w:pPr>
        <w:pStyle w:val="ListParagraph"/>
        <w:numPr>
          <w:ilvl w:val="0"/>
          <w:numId w:val="2"/>
        </w:numPr>
        <w:spacing w:after="70" w:line="280"/>
      </w:pPr>
      <w:r>
        <w:rPr>
          <w:rFonts w:ascii="Calibri" w:cs="Calibri" w:eastAsia="Calibri" w:hAnsi="Calibri"/>
          <w:color w:val="0E1A1C"/>
          <w:sz w:val="21"/>
          <w:szCs w:val="21"/>
        </w:rPr>
        <w:t xml:space="preserve">Geen stopregel; dan is tussentijds kijken onvermijdelijk.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werkgevers heb je nodig? En hoeveel deelnemers is dat — en waarom is dat tweede getal misleidend?</w:t>
            </w:r>
          </w:p>
        </w:tc>
      </w:tr>
    </w:tbl>
    <w:p>
      <w:pPr>
        <w:pStyle w:val="Heading2"/>
        <w:spacing w:after="140" w:before="340"/>
      </w:pPr>
      <w:r>
        <w:rPr>
          <w:rFonts w:ascii="Cambria" w:cs="Cambria" w:eastAsia="Cambria" w:hAnsi="Cambria"/>
          <w:b/>
          <w:bCs/>
          <w:color w:val="0E1A1C"/>
          <w:sz w:val="26"/>
          <w:szCs w:val="26"/>
        </w:rPr>
        <w:t xml:space="preserve">Opdracht 5 — Simpson ontrafelen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Correct geconstateerd dat digitaal in het totaal verliest en in elke categorie wint.</w:t>
      </w:r>
    </w:p>
    <w:p>
      <w:pPr>
        <w:pStyle w:val="ListParagraph"/>
        <w:numPr>
          <w:ilvl w:val="0"/>
          <w:numId w:val="2"/>
        </w:numPr>
        <w:spacing w:after="70" w:line="280"/>
      </w:pPr>
      <w:r>
        <w:rPr>
          <w:rFonts w:ascii="Calibri" w:cs="Calibri" w:eastAsia="Calibri" w:hAnsi="Calibri"/>
          <w:color w:val="0E1A1C"/>
          <w:sz w:val="21"/>
          <w:szCs w:val="21"/>
        </w:rPr>
        <w:t xml:space="preserve">De bedrijfsgrootte aangewezen als ongelijk verdeelde variabele die de respons beïnvloedt.</w:t>
      </w:r>
    </w:p>
    <w:p>
      <w:pPr>
        <w:pStyle w:val="ListParagraph"/>
        <w:numPr>
          <w:ilvl w:val="0"/>
          <w:numId w:val="2"/>
        </w:numPr>
        <w:spacing w:after="70" w:line="280"/>
      </w:pPr>
      <w:r>
        <w:rPr>
          <w:rFonts w:ascii="Calibri" w:cs="Calibri" w:eastAsia="Calibri" w:hAnsi="Calibri"/>
          <w:color w:val="0E1A1C"/>
          <w:sz w:val="21"/>
          <w:szCs w:val="21"/>
        </w:rPr>
        <w:t xml:space="preserve">De juiste conclusie: digitaal presteert beter, mits je voor bedrijfsgrootte corrigeert.</w:t>
      </w:r>
    </w:p>
    <w:p>
      <w:pPr>
        <w:pStyle w:val="ListParagraph"/>
        <w:numPr>
          <w:ilvl w:val="0"/>
          <w:numId w:val="2"/>
        </w:numPr>
        <w:spacing w:after="70" w:line="280"/>
      </w:pPr>
      <w:r>
        <w:rPr>
          <w:rFonts w:ascii="Calibri" w:cs="Calibri" w:eastAsia="Calibri" w:hAnsi="Calibri"/>
          <w:color w:val="0E1A1C"/>
          <w:sz w:val="21"/>
          <w:szCs w:val="21"/>
        </w:rPr>
        <w:t xml:space="preserve">Toets aan de regels van hoofdstuk 8: bedrijfsgrootte is niet door de interventie beïnvloed, dus uitsplitsen mag.</w:t>
      </w:r>
    </w:p>
    <w:p>
      <w:pPr>
        <w:pStyle w:val="ListParagraph"/>
        <w:numPr>
          <w:ilvl w:val="0"/>
          <w:numId w:val="2"/>
        </w:numPr>
        <w:spacing w:after="70" w:line="280"/>
      </w:pPr>
      <w:r>
        <w:rPr>
          <w:rFonts w:ascii="Calibri" w:cs="Calibri" w:eastAsia="Calibri" w:hAnsi="Calibri"/>
          <w:color w:val="0E1A1C"/>
          <w:sz w:val="21"/>
          <w:szCs w:val="21"/>
        </w:rPr>
        <w:t xml:space="preserve">Een uitleg van vier zinnen die een directeur begrijpt.</w:t>
      </w:r>
    </w:p>
    <w:p>
      <w:pPr>
        <w:pStyle w:val="ListParagraph"/>
        <w:numPr>
          <w:ilvl w:val="0"/>
          <w:numId w:val="2"/>
        </w:numPr>
        <w:spacing w:after="70" w:line="280"/>
      </w:pPr>
      <w:r>
        <w:rPr>
          <w:rFonts w:ascii="Calibri" w:cs="Calibri" w:eastAsia="Calibri" w:hAnsi="Calibri"/>
          <w:color w:val="0E1A1C"/>
          <w:sz w:val="21"/>
          <w:szCs w:val="21"/>
        </w:rPr>
        <w:t xml:space="preserve">Het gemiste besluit benoemd: op de totalen zou digitaal zijn afgeschaft.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paradox constateren zonder hem te verklaren.</w:t>
      </w:r>
    </w:p>
    <w:p>
      <w:pPr>
        <w:pStyle w:val="ListParagraph"/>
        <w:numPr>
          <w:ilvl w:val="0"/>
          <w:numId w:val="2"/>
        </w:numPr>
        <w:spacing w:after="70" w:line="280"/>
      </w:pPr>
      <w:r>
        <w:rPr>
          <w:rFonts w:ascii="Calibri" w:cs="Calibri" w:eastAsia="Calibri" w:hAnsi="Calibri"/>
          <w:color w:val="0E1A1C"/>
          <w:sz w:val="21"/>
          <w:szCs w:val="21"/>
        </w:rPr>
        <w:t xml:space="preserve">Concluderen dat de data niet klopt. De data klopt; de samenstelling verschilt.</w:t>
      </w:r>
    </w:p>
    <w:p>
      <w:pPr>
        <w:pStyle w:val="ListParagraph"/>
        <w:numPr>
          <w:ilvl w:val="0"/>
          <w:numId w:val="2"/>
        </w:numPr>
        <w:spacing w:after="70" w:line="280"/>
      </w:pPr>
      <w:r>
        <w:rPr>
          <w:rFonts w:ascii="Calibri" w:cs="Calibri" w:eastAsia="Calibri" w:hAnsi="Calibri"/>
          <w:color w:val="0E1A1C"/>
          <w:sz w:val="21"/>
          <w:szCs w:val="21"/>
        </w:rPr>
        <w:t xml:space="preserve">De uitleg te technisch maken. Laat hardop oefenen.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had de directie op grond van de totalen besloten? En wat had dat gekost?</w:t>
            </w:r>
          </w:p>
        </w:tc>
      </w:tr>
    </w:tbl>
    <w:p>
      <w:pPr>
        <w:pStyle w:val="Heading2"/>
        <w:spacing w:after="140" w:before="340"/>
      </w:pPr>
      <w:r>
        <w:rPr>
          <w:rFonts w:ascii="Cambria" w:cs="Cambria" w:eastAsia="Cambria" w:hAnsi="Cambria"/>
          <w:b/>
          <w:bCs/>
          <w:color w:val="0E1A1C"/>
          <w:sz w:val="26"/>
          <w:szCs w:val="26"/>
        </w:rPr>
        <w:t xml:space="preserve">Opdracht 6 — Forecast en backtest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Naïef model eerst, met de fout als ondergrens.</w:t>
      </w:r>
    </w:p>
    <w:p>
      <w:pPr>
        <w:pStyle w:val="ListParagraph"/>
        <w:numPr>
          <w:ilvl w:val="0"/>
          <w:numId w:val="2"/>
        </w:numPr>
        <w:spacing w:after="70" w:line="280"/>
      </w:pPr>
      <w:r>
        <w:rPr>
          <w:rFonts w:ascii="Calibri" w:cs="Calibri" w:eastAsia="Calibri" w:hAnsi="Calibri"/>
          <w:color w:val="0E1A1C"/>
          <w:sz w:val="21"/>
          <w:szCs w:val="21"/>
        </w:rPr>
        <w:t xml:space="preserve">Trend en seizoen apart getoetst, met de fouten naast elkaar.</w:t>
      </w:r>
    </w:p>
    <w:p>
      <w:pPr>
        <w:pStyle w:val="ListParagraph"/>
        <w:numPr>
          <w:ilvl w:val="0"/>
          <w:numId w:val="2"/>
        </w:numPr>
        <w:spacing w:after="70" w:line="280"/>
      </w:pPr>
      <w:r>
        <w:rPr>
          <w:rFonts w:ascii="Calibri" w:cs="Calibri" w:eastAsia="Calibri" w:hAnsi="Calibri"/>
          <w:color w:val="0E1A1C"/>
          <w:sz w:val="21"/>
          <w:szCs w:val="21"/>
        </w:rPr>
        <w:t xml:space="preserve">Modelkeuze op grond van de backtest en niet op grond van elegantie.</w:t>
      </w:r>
    </w:p>
    <w:p>
      <w:pPr>
        <w:pStyle w:val="ListParagraph"/>
        <w:numPr>
          <w:ilvl w:val="0"/>
          <w:numId w:val="2"/>
        </w:numPr>
        <w:spacing w:after="70" w:line="280"/>
      </w:pPr>
      <w:r>
        <w:rPr>
          <w:rFonts w:ascii="Calibri" w:cs="Calibri" w:eastAsia="Calibri" w:hAnsi="Calibri"/>
          <w:color w:val="0E1A1C"/>
          <w:sz w:val="21"/>
          <w:szCs w:val="21"/>
        </w:rPr>
        <w:t xml:space="preserve">Een interval met verantwoorde breedte.</w:t>
      </w:r>
    </w:p>
    <w:p>
      <w:pPr>
        <w:pStyle w:val="ListParagraph"/>
        <w:numPr>
          <w:ilvl w:val="0"/>
          <w:numId w:val="2"/>
        </w:numPr>
        <w:spacing w:after="70" w:line="280"/>
      </w:pPr>
      <w:r>
        <w:rPr>
          <w:rFonts w:ascii="Calibri" w:cs="Calibri" w:eastAsia="Calibri" w:hAnsi="Calibri"/>
          <w:color w:val="0E1A1C"/>
          <w:sz w:val="21"/>
          <w:szCs w:val="21"/>
        </w:rPr>
        <w:t xml:space="preserve">Een gebeurtenis benoemd die de forecast ongeldig maakt — bijvoorbeeld het aflopen van een groot collectief contract.</w:t>
      </w:r>
    </w:p>
    <w:p>
      <w:pPr>
        <w:pStyle w:val="ListParagraph"/>
        <w:numPr>
          <w:ilvl w:val="0"/>
          <w:numId w:val="2"/>
        </w:numPr>
        <w:spacing w:after="70" w:line="280"/>
      </w:pPr>
      <w:r>
        <w:rPr>
          <w:rFonts w:ascii="Calibri" w:cs="Calibri" w:eastAsia="Calibri" w:hAnsi="Calibri"/>
          <w:color w:val="0E1A1C"/>
          <w:sz w:val="21"/>
          <w:szCs w:val="21"/>
        </w:rPr>
        <w:t xml:space="preserve">De voorspelling in één zin met marge.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het complexe model bouwen zonder ondergrens.</w:t>
      </w:r>
    </w:p>
    <w:p>
      <w:pPr>
        <w:pStyle w:val="ListParagraph"/>
        <w:numPr>
          <w:ilvl w:val="0"/>
          <w:numId w:val="2"/>
        </w:numPr>
        <w:spacing w:after="70" w:line="280"/>
      </w:pPr>
      <w:r>
        <w:rPr>
          <w:rFonts w:ascii="Calibri" w:cs="Calibri" w:eastAsia="Calibri" w:hAnsi="Calibri"/>
          <w:color w:val="0E1A1C"/>
          <w:sz w:val="21"/>
          <w:szCs w:val="21"/>
        </w:rPr>
        <w:t xml:space="preserve">Backtesten op dezelfde periode als waarop is getraind.</w:t>
      </w:r>
    </w:p>
    <w:p>
      <w:pPr>
        <w:pStyle w:val="ListParagraph"/>
        <w:numPr>
          <w:ilvl w:val="0"/>
          <w:numId w:val="2"/>
        </w:numPr>
        <w:spacing w:after="70" w:line="280"/>
      </w:pPr>
      <w:r>
        <w:rPr>
          <w:rFonts w:ascii="Calibri" w:cs="Calibri" w:eastAsia="Calibri" w:hAnsi="Calibri"/>
          <w:color w:val="0E1A1C"/>
          <w:sz w:val="21"/>
          <w:szCs w:val="21"/>
        </w:rPr>
        <w:t xml:space="preserve">Eén getal rapporteren zonder interval.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Presteert je complexe model daadwerkelijk beter? Zo niet, welk model rapporteer je?</w:t>
            </w:r>
          </w:p>
        </w:tc>
      </w:tr>
    </w:tbl>
    <w:p>
      <w:pPr>
        <w:pStyle w:val="Heading2"/>
        <w:spacing w:after="140" w:before="340"/>
      </w:pPr>
      <w:r>
        <w:rPr>
          <w:rFonts w:ascii="Cambria" w:cs="Cambria" w:eastAsia="Cambria" w:hAnsi="Cambria"/>
          <w:b/>
          <w:bCs/>
          <w:color w:val="0E1A1C"/>
          <w:sz w:val="26"/>
          <w:szCs w:val="26"/>
        </w:rPr>
        <w:t xml:space="preserve">Opdracht 7 — Analyse met onzekerheid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Bronbeoordeling opgenomen in de oplevering.</w:t>
      </w:r>
    </w:p>
    <w:p>
      <w:pPr>
        <w:pStyle w:val="ListParagraph"/>
        <w:numPr>
          <w:ilvl w:val="0"/>
          <w:numId w:val="2"/>
        </w:numPr>
        <w:spacing w:after="70" w:line="280"/>
      </w:pPr>
      <w:r>
        <w:rPr>
          <w:rFonts w:ascii="Calibri" w:cs="Calibri" w:eastAsia="Calibri" w:hAnsi="Calibri"/>
          <w:color w:val="0E1A1C"/>
          <w:sz w:val="21"/>
          <w:szCs w:val="21"/>
        </w:rPr>
        <w:t xml:space="preserve">Puntresultaat met marge in begrijpelijke eenheden.</w:t>
      </w:r>
    </w:p>
    <w:p>
      <w:pPr>
        <w:pStyle w:val="ListParagraph"/>
        <w:numPr>
          <w:ilvl w:val="0"/>
          <w:numId w:val="2"/>
        </w:numPr>
        <w:spacing w:after="70" w:line="280"/>
      </w:pPr>
      <w:r>
        <w:rPr>
          <w:rFonts w:ascii="Calibri" w:cs="Calibri" w:eastAsia="Calibri" w:hAnsi="Calibri"/>
          <w:color w:val="0E1A1C"/>
          <w:sz w:val="21"/>
          <w:szCs w:val="21"/>
        </w:rPr>
        <w:t xml:space="preserve">Een alternatieve verklaring die daadwerkelijk blijft staan, niet een die is weggeschreven.</w:t>
      </w:r>
    </w:p>
    <w:p>
      <w:pPr>
        <w:pStyle w:val="ListParagraph"/>
        <w:numPr>
          <w:ilvl w:val="0"/>
          <w:numId w:val="2"/>
        </w:numPr>
        <w:spacing w:after="70" w:line="280"/>
      </w:pPr>
      <w:r>
        <w:rPr>
          <w:rFonts w:ascii="Calibri" w:cs="Calibri" w:eastAsia="Calibri" w:hAnsi="Calibri"/>
          <w:color w:val="0E1A1C"/>
          <w:sz w:val="21"/>
          <w:szCs w:val="21"/>
        </w:rPr>
        <w:t xml:space="preserve">Een expliciete uitspraak over welke uitkomst het advies zou hebben veranderd.</w:t>
      </w:r>
    </w:p>
    <w:p>
      <w:pPr>
        <w:pStyle w:val="ListParagraph"/>
        <w:numPr>
          <w:ilvl w:val="0"/>
          <w:numId w:val="2"/>
        </w:numPr>
        <w:spacing w:after="70" w:line="280"/>
      </w:pPr>
      <w:r>
        <w:rPr>
          <w:rFonts w:ascii="Calibri" w:cs="Calibri" w:eastAsia="Calibri" w:hAnsi="Calibri"/>
          <w:color w:val="0E1A1C"/>
          <w:sz w:val="21"/>
          <w:szCs w:val="21"/>
        </w:rPr>
        <w:t xml:space="preserve">Een zekerheidszin die richting geeft: eerder te hoog of eerder te laag, en waarom.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Onzekerheid noemen zonder richting: "er zitten beperkingen aan". Laat specifiek maken.</w:t>
      </w:r>
    </w:p>
    <w:p>
      <w:pPr>
        <w:pStyle w:val="ListParagraph"/>
        <w:numPr>
          <w:ilvl w:val="0"/>
          <w:numId w:val="2"/>
        </w:numPr>
        <w:spacing w:after="70" w:line="280"/>
      </w:pPr>
      <w:r>
        <w:rPr>
          <w:rFonts w:ascii="Calibri" w:cs="Calibri" w:eastAsia="Calibri" w:hAnsi="Calibri"/>
          <w:color w:val="0E1A1C"/>
          <w:sz w:val="21"/>
          <w:szCs w:val="21"/>
        </w:rPr>
        <w:t xml:space="preserve">De marge weglaten omdat hij het verhaal verzwakt. Hij versterkt de geloofwaardigheid.</w:t>
      </w:r>
    </w:p>
    <w:p>
      <w:pPr>
        <w:pStyle w:val="ListParagraph"/>
        <w:numPr>
          <w:ilvl w:val="0"/>
          <w:numId w:val="2"/>
        </w:numPr>
        <w:spacing w:after="70" w:line="280"/>
      </w:pPr>
      <w:r>
        <w:rPr>
          <w:rFonts w:ascii="Calibri" w:cs="Calibri" w:eastAsia="Calibri" w:hAnsi="Calibri"/>
          <w:color w:val="0E1A1C"/>
          <w:sz w:val="21"/>
          <w:szCs w:val="21"/>
        </w:rPr>
        <w:t xml:space="preserve">Concluderen dat elke uitkomst tot hetzelfde advies leidt en dat toch niet benoemen.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uitkomst had jouw advies veranderd? En als het antwoord "geen" is, wat zegt dat?</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ontbreekt er aan "werkt onze deelnemerscommunicatie?"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Populatie, maat, periode en beslisregel.</w:t>
      </w:r>
    </w:p>
    <w:p>
      <w:pPr>
        <w:spacing w:after="40" w:line="275"/>
        <w:ind w:left="420"/>
      </w:pPr>
      <w:r>
        <w:rPr>
          <w:rFonts w:ascii="Calibri" w:cs="Calibri" w:eastAsia="Calibri" w:hAnsi="Calibri"/>
          <w:color w:val="5F7375"/>
          <w:sz w:val="19"/>
          <w:szCs w:val="19"/>
        </w:rPr>
        <w:t xml:space="preserve">Zonder beslisregel is er geen analyse maar nieuwsgierigheid.</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leg je de beslisregel vast vóór de analyse?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 te voorkomen dat de grens verschuift nadat de uitkomst bekend is.</w:t>
      </w:r>
    </w:p>
    <w:p>
      <w:pPr>
        <w:spacing w:after="40" w:line="275"/>
        <w:ind w:left="420"/>
      </w:pPr>
      <w:r>
        <w:rPr>
          <w:rFonts w:ascii="Calibri" w:cs="Calibri" w:eastAsia="Calibri" w:hAnsi="Calibri"/>
          <w:color w:val="5F7375"/>
          <w:sz w:val="19"/>
          <w:szCs w:val="19"/>
        </w:rPr>
        <w:t xml:space="preserve">Anders volgt er achteraf een discussie over of vier procentpunt "ook al wel wat" is.</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Bij 340.000 deelnemers is een verschil van 0,2 procentpunt significant. Wat betekent dat?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waarschijnlijk geen toeval, maar bestuurlijk vermoedelijk betekenisloos.</w:t>
      </w:r>
    </w:p>
    <w:p>
      <w:pPr>
        <w:spacing w:after="40" w:line="275"/>
        <w:ind w:left="420"/>
      </w:pPr>
      <w:r>
        <w:rPr>
          <w:rFonts w:ascii="Calibri" w:cs="Calibri" w:eastAsia="Calibri" w:hAnsi="Calibri"/>
          <w:color w:val="5F7375"/>
          <w:sz w:val="19"/>
          <w:szCs w:val="19"/>
        </w:rPr>
        <w:t xml:space="preserve">Bij grote steekproeven wordt vrijwel elk verschil significant. Rapporteer daarom effectgrootte en interval.</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zegt een p-waarde níét?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Hoe groot het effect is.</w:t>
      </w:r>
    </w:p>
    <w:p>
      <w:pPr>
        <w:spacing w:after="40" w:line="275"/>
        <w:ind w:left="420"/>
      </w:pPr>
      <w:r>
        <w:rPr>
          <w:rFonts w:ascii="Calibri" w:cs="Calibri" w:eastAsia="Calibri" w:hAnsi="Calibri"/>
          <w:color w:val="5F7375"/>
          <w:sz w:val="19"/>
          <w:szCs w:val="19"/>
        </w:rPr>
        <w:t xml:space="preserve">Effectgrootte en p-waarde zijn twee verschillende dingen; alleen de eerste zegt of het ertoe doet.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Een brief wordt per werkgever verstuurd, maar gemeten op deelnemersniveau. Wat is de randomisatie-eenheid?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werkgever</w:t>
      </w:r>
    </w:p>
    <w:p>
      <w:pPr>
        <w:spacing w:after="40" w:line="275"/>
        <w:ind w:left="420"/>
      </w:pPr>
      <w:r>
        <w:rPr>
          <w:rFonts w:ascii="Calibri" w:cs="Calibri" w:eastAsia="Calibri" w:hAnsi="Calibri"/>
          <w:color w:val="5F7375"/>
          <w:sz w:val="19"/>
          <w:szCs w:val="19"/>
        </w:rPr>
        <w:t xml:space="preserve">De interventie werkt op groepsniveau; dat verkleint de effectieve steekproef aanzienlijk.</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Waarom is tussentijds meekijken bij een experiment riskant?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Wie zonder correctie meekijkt en stopt op een gunstig moment, vindt vroeg of laat een effect dat er niet is.</w:t>
      </w:r>
    </w:p>
    <w:p>
      <w:pPr>
        <w:spacing w:after="40" w:line="275"/>
        <w:ind w:left="420"/>
      </w:pPr>
      <w:r>
        <w:rPr>
          <w:rFonts w:ascii="Calibri" w:cs="Calibri" w:eastAsia="Calibri" w:hAnsi="Calibri"/>
          <w:color w:val="5F7375"/>
          <w:sz w:val="19"/>
          <w:szCs w:val="19"/>
        </w:rPr>
        <w:t xml:space="preserve">Dit is de meest voorkomende vorm van p-hacking en hij is achteraf niet te repareren.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kenmerkt Simpson’s paradox?</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A — Het totaal wijst de ene kant op, elke subgroep de andere.</w:t>
      </w:r>
    </w:p>
    <w:p>
      <w:pPr>
        <w:spacing w:after="40" w:line="275"/>
        <w:ind w:left="420"/>
      </w:pPr>
      <w:r>
        <w:rPr>
          <w:rFonts w:ascii="Calibri" w:cs="Calibri" w:eastAsia="Calibri" w:hAnsi="Calibri"/>
          <w:color w:val="5F7375"/>
          <w:sz w:val="19"/>
          <w:szCs w:val="19"/>
        </w:rPr>
        <w:t xml:space="preserve">Een ongelijk verdeelde derde variabele die de uitkomst beïnvloedt, veroorzaakt het.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Wanneer mag je níét uitsplitsen op een variabele?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die variabele ná de interventie is beïnvloed.</w:t>
      </w:r>
    </w:p>
    <w:p>
      <w:pPr>
        <w:spacing w:after="40" w:line="275"/>
        <w:ind w:left="420"/>
      </w:pPr>
      <w:r>
        <w:rPr>
          <w:rFonts w:ascii="Calibri" w:cs="Calibri" w:eastAsia="Calibri" w:hAnsi="Calibri"/>
          <w:color w:val="5F7375"/>
          <w:sz w:val="19"/>
          <w:szCs w:val="19"/>
        </w:rPr>
        <w:t xml:space="preserve">Dan corrigeer je een deel van het effect weg dat je juist wilde meten.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doet een window function dat een GROUP BY niet doet?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Aggregeren zonder rijen samen te voegen, zodat een individuele waarde naast een groepswaarde komt.</w:t>
      </w:r>
    </w:p>
    <w:p>
      <w:pPr>
        <w:spacing w:after="40" w:line="275"/>
        <w:ind w:left="420"/>
      </w:pPr>
      <w:r>
        <w:rPr>
          <w:rFonts w:ascii="Calibri" w:cs="Calibri" w:eastAsia="Calibri" w:hAnsi="Calibri"/>
          <w:color w:val="5F7375"/>
          <w:sz w:val="19"/>
          <w:szCs w:val="19"/>
        </w:rPr>
        <w:t xml:space="preserve">Daarmee zet je bijvoorbeeld de premie van een werkgever naast het sectorgemiddelde zonder tweede query.</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Je forecastmodel met trend en seizoen presteert op de backtest niet beter dan het naïeve model. Wat doe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naïeve model gebruiken.</w:t>
      </w:r>
    </w:p>
    <w:p>
      <w:pPr>
        <w:spacing w:after="40" w:line="275"/>
        <w:ind w:left="420"/>
      </w:pPr>
      <w:r>
        <w:rPr>
          <w:rFonts w:ascii="Calibri" w:cs="Calibri" w:eastAsia="Calibri" w:hAnsi="Calibri"/>
          <w:color w:val="5F7375"/>
          <w:sz w:val="19"/>
          <w:szCs w:val="19"/>
        </w:rPr>
        <w:t xml:space="preserve">Eerlijker, goedkoper in onderhoud, en beter uitlegbaar. Dat is vakmanschap, geen zwakte.</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regressie naar het gemiddelde in dit verband?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een uitzonderlijk slecht kwartaal vrijwel altijd wordt gevolgd door een beter, ook zonder maatregel.</w:t>
      </w:r>
    </w:p>
    <w:p>
      <w:pPr>
        <w:spacing w:after="40" w:line="275"/>
        <w:ind w:left="420"/>
      </w:pPr>
      <w:r>
        <w:rPr>
          <w:rFonts w:ascii="Calibri" w:cs="Calibri" w:eastAsia="Calibri" w:hAnsi="Calibri"/>
          <w:color w:val="5F7375"/>
          <w:sz w:val="19"/>
          <w:szCs w:val="19"/>
        </w:rPr>
        <w:t xml:space="preserve">Wie een slecht kwartaal aanpakt, ziet verbetering — en schrijft die ten onrechte toe aan de maatregel.</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hoort er in elke oplevering op niveau 2 dat op niveau 1 ontbrak?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marge, wat je niet kunt uitsluiten, en welke uitkomst je advies zou hebben veranderd</w:t>
      </w:r>
    </w:p>
    <w:p>
      <w:pPr>
        <w:spacing w:after="40" w:line="275"/>
        <w:ind w:left="420"/>
      </w:pPr>
      <w:r>
        <w:rPr>
          <w:rFonts w:ascii="Calibri" w:cs="Calibri" w:eastAsia="Calibri" w:hAnsi="Calibri"/>
          <w:color w:val="5F7375"/>
          <w:sz w:val="19"/>
          <w:szCs w:val="19"/>
        </w:rPr>
        <w:t xml:space="preserve">Dat laatste maakt zichtbaar hoe stevig het advies is — en soms dat de analyse niet nodig was.</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analist verplicht te melden dat zijn analyse geen besluit verandert?</w:t>
      </w:r>
    </w:p>
    <w:p>
      <w:pPr>
        <w:pStyle w:val="ListParagraph"/>
        <w:numPr>
          <w:ilvl w:val="0"/>
          <w:numId w:val="3"/>
        </w:numPr>
        <w:spacing w:after="70" w:line="280"/>
      </w:pPr>
      <w:r>
        <w:rPr>
          <w:rFonts w:ascii="Calibri" w:cs="Calibri" w:eastAsia="Calibri" w:hAnsi="Calibri"/>
          <w:color w:val="0E1A1C"/>
          <w:sz w:val="21"/>
          <w:szCs w:val="21"/>
        </w:rPr>
        <w:t xml:space="preserve">Mag je een experiment vroegtijdig stoppen als de behandelde groep het beter doet?</w:t>
      </w:r>
    </w:p>
    <w:p>
      <w:pPr>
        <w:pStyle w:val="ListParagraph"/>
        <w:numPr>
          <w:ilvl w:val="0"/>
          <w:numId w:val="3"/>
        </w:numPr>
        <w:spacing w:after="70" w:line="280"/>
      </w:pPr>
      <w:r>
        <w:rPr>
          <w:rFonts w:ascii="Calibri" w:cs="Calibri" w:eastAsia="Calibri" w:hAnsi="Calibri"/>
          <w:color w:val="0E1A1C"/>
          <w:sz w:val="21"/>
          <w:szCs w:val="21"/>
        </w:rPr>
        <w:t xml:space="preserve">Wie bepaalt de beslisregel: de analist of de opdrachtgever?</w:t>
      </w:r>
    </w:p>
    <w:p>
      <w:pPr>
        <w:pStyle w:val="ListParagraph"/>
        <w:numPr>
          <w:ilvl w:val="0"/>
          <w:numId w:val="3"/>
        </w:numPr>
        <w:spacing w:after="70" w:line="280"/>
      </w:pPr>
      <w:r>
        <w:rPr>
          <w:rFonts w:ascii="Calibri" w:cs="Calibri" w:eastAsia="Calibri" w:hAnsi="Calibri"/>
          <w:color w:val="0E1A1C"/>
          <w:sz w:val="21"/>
          <w:szCs w:val="21"/>
        </w:rPr>
        <w:t xml:space="preserve">Is een eenvoudig model dat even goed presteert altijd te verkiezen boven een complex model?</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4 de steekproefgrootte daadwerkelijk berekenen met een powerberekening.</w:t>
      </w:r>
    </w:p>
    <w:p>
      <w:pPr>
        <w:pStyle w:val="ListParagraph"/>
        <w:numPr>
          <w:ilvl w:val="0"/>
          <w:numId w:val="2"/>
        </w:numPr>
        <w:spacing w:after="70" w:line="280"/>
      </w:pPr>
      <w:r>
        <w:rPr>
          <w:rFonts w:ascii="Calibri" w:cs="Calibri" w:eastAsia="Calibri" w:hAnsi="Calibri"/>
          <w:color w:val="0E1A1C"/>
          <w:sz w:val="21"/>
          <w:szCs w:val="21"/>
        </w:rPr>
        <w:t xml:space="preserve">Vraag om bij opdracht 5 een tweede variabele te zoeken die de paradox zou kunnen opheffen of versterken.</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scenario-analyse: drie forecasts onder drie aannames.</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vier queries.</w:t>
      </w:r>
    </w:p>
    <w:p>
      <w:pPr>
        <w:pStyle w:val="ListParagraph"/>
        <w:numPr>
          <w:ilvl w:val="0"/>
          <w:numId w:val="2"/>
        </w:numPr>
        <w:spacing w:after="70" w:line="280"/>
      </w:pPr>
      <w:r>
        <w:rPr>
          <w:rFonts w:ascii="Calibri" w:cs="Calibri" w:eastAsia="Calibri" w:hAnsi="Calibri"/>
          <w:color w:val="0E1A1C"/>
          <w:sz w:val="21"/>
          <w:szCs w:val="21"/>
        </w:rPr>
        <w:t xml:space="preserve">Geef bij opdracht 4 de randomisatie-eenheid voor; de rest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6 alleen naïef en trend vergelijken.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statistiek kunnen voor de CBDA?"</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begripsniveau. Het examen toetst interpretatie en toepassing, niet het uitrekenen van formules.</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is een verschil groot genoeg?"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bepaalt de beslisregel, en die stel je vooraf vast — niet de statistiek achteraf.</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data uit twee bronnen combineren?"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mits de definities overeenkomen. Dat is de derde vraag uit de bronbeoordeling en hij wordt structureel overgeslagen.</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er geen experiment mogelijk is?"</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Dan kom je uit bij causale technieken. Die behandelt deel 28; op dit niveau volstaat het benoemen van wat je niet kunt uitsluiten.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niet erkend door IIBA;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18 — Data-analyse voor besluitvorming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Data-analyse voor besluitvorming — Docentenhandleiding</dc:title>
  <dc:creator>Ductus B.V.</dc:creator>
  <dc:description>Cursusmateriaal datamanagement, data-analyse en data governance</dc:description>
  <cp:lastModifiedBy>Un-named</cp:lastModifiedBy>
  <cp:revision>1</cp:revision>
  <dcterms:created xsi:type="dcterms:W3CDTF">2026-08-05T12:05:56.411Z</dcterms:created>
  <dcterms:modified xsi:type="dcterms:W3CDTF">2026-08-05T12:05:56.411Z</dcterms:modified>
</cp:coreProperties>
</file>

<file path=docProps/custom.xml><?xml version="1.0" encoding="utf-8"?>
<Properties xmlns="http://schemas.openxmlformats.org/officeDocument/2006/custom-properties" xmlns:vt="http://schemas.openxmlformats.org/officeDocument/2006/docPropsVTypes"/>
</file>