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19</w:t>
      </w:r>
    </w:p>
    <w:p>
      <w:pPr>
        <w:spacing w:after="120"/>
      </w:pPr>
      <w:r>
        <w:rPr>
          <w:rFonts w:ascii="Cambria" w:cs="Cambria" w:eastAsia="Cambria" w:hAnsi="Cambria"/>
          <w:b/>
          <w:bCs/>
          <w:color w:val="0E1A1C"/>
          <w:sz w:val="56"/>
          <w:szCs w:val="56"/>
        </w:rPr>
        <w:t xml:space="preserve">Van analyse naar advies</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Stakeholderkaarten, prioriteringsspel, panelrollen voor de pitch</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19 gelezen; deel 18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een eigen afgewezen advies meegenomen. Vraag daar bij binnenkomst naar; wie niets heeft, kan opdracht 7 op een casus doen maar mist het leerrendement.</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Rolbeschrijvingen voor opdracht 3: een directeur die eigenaarschap wil maar geen tijd, een controller die vindt dat het bij Financiën hoort, een steward die het al doet zonder mandaat, en een directeur Beleggingen die er niets bij wint en de vergadering wil inkorten.</w:t>
      </w:r>
    </w:p>
    <w:p>
      <w:pPr>
        <w:pStyle w:val="ListParagraph"/>
        <w:numPr>
          <w:ilvl w:val="0"/>
          <w:numId w:val="2"/>
        </w:numPr>
        <w:spacing w:after="70" w:line="280"/>
      </w:pPr>
      <w:r>
        <w:rPr>
          <w:rFonts w:ascii="Calibri" w:cs="Calibri" w:eastAsia="Calibri" w:hAnsi="Calibri"/>
          <w:color w:val="0E1A1C"/>
          <w:sz w:val="21"/>
          <w:szCs w:val="21"/>
        </w:rPr>
        <w:t xml:space="preserve">Twaalf initiatiefkaarten voor opdracht 4, met afhankelijkheden die niet op de kaarten staan maar wel bestaan — deelnemers moeten ze zelf vinden.</w:t>
      </w:r>
    </w:p>
    <w:p>
      <w:pPr>
        <w:pStyle w:val="ListParagraph"/>
        <w:numPr>
          <w:ilvl w:val="0"/>
          <w:numId w:val="2"/>
        </w:numPr>
        <w:spacing w:after="70" w:line="280"/>
      </w:pPr>
      <w:r>
        <w:rPr>
          <w:rFonts w:ascii="Calibri" w:cs="Calibri" w:eastAsia="Calibri" w:hAnsi="Calibri"/>
          <w:color w:val="0E1A1C"/>
          <w:sz w:val="21"/>
          <w:szCs w:val="21"/>
        </w:rPr>
        <w:t xml:space="preserve">Panelrollen voor het leveranciersgesprek in opdracht 6: een leverancier die goed voorbereid is en één ongemakkelijke vraag consequent ontwijkt.</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18 leverde de analyse; dit deel brengt hem tot een besluit. Samen dekken ze de zes CBDA-domeinen. Deel 20 is de examentraining voor Practitioner en CBDA, deel 21 de capstone waarin alles samenkomt — inclusief de stuurgroeppresentatie die hier wordt geoefend.</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waarom goede analyses stranden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wie een afgewezen advies heeft meegenomen en waarom het sneuvelde</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case en stakeholders, bespreking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vraag welke grootheid hier wint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workshop faciliteren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Groep</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drie deelnemers faciliteren; feedback op sturen versus faciliteren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2:10–3:10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prioriteren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Groep</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MoSCoW eerst mislukken; dat is de les</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3:10–4:00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advies van één pagina</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Streng op de omvang; laat inkorten tot het echt past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4:00–4:45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leveranciersgesprek</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ontweken vraag is de opbrengst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4:45–5:00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Stakeholdermap</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Minstens acht stakeholders, met de directeur Beleggingen in het kwadrant hoge invloed en laag belang.</w:t>
      </w:r>
    </w:p>
    <w:p>
      <w:pPr>
        <w:pStyle w:val="ListParagraph"/>
        <w:numPr>
          <w:ilvl w:val="0"/>
          <w:numId w:val="2"/>
        </w:numPr>
        <w:spacing w:after="70" w:line="280"/>
      </w:pPr>
      <w:r>
        <w:rPr>
          <w:rFonts w:ascii="Calibri" w:cs="Calibri" w:eastAsia="Calibri" w:hAnsi="Calibri"/>
          <w:color w:val="0E1A1C"/>
          <w:sz w:val="21"/>
          <w:szCs w:val="21"/>
        </w:rPr>
        <w:t xml:space="preserve">Per stakeholder benoemd wat hij te verliezen heeft — niet alleen wat hij wint.</w:t>
      </w:r>
    </w:p>
    <w:p>
      <w:pPr>
        <w:pStyle w:val="ListParagraph"/>
        <w:numPr>
          <w:ilvl w:val="0"/>
          <w:numId w:val="2"/>
        </w:numPr>
        <w:spacing w:after="70" w:line="280"/>
      </w:pPr>
      <w:r>
        <w:rPr>
          <w:rFonts w:ascii="Calibri" w:cs="Calibri" w:eastAsia="Calibri" w:hAnsi="Calibri"/>
          <w:color w:val="0E1A1C"/>
          <w:sz w:val="21"/>
          <w:szCs w:val="21"/>
        </w:rPr>
        <w:t xml:space="preserve">Weerstandsvormen voorspeld en gekoppeld aan de drie patronen uit de reader.</w:t>
      </w:r>
    </w:p>
    <w:p>
      <w:pPr>
        <w:pStyle w:val="ListParagraph"/>
        <w:numPr>
          <w:ilvl w:val="0"/>
          <w:numId w:val="2"/>
        </w:numPr>
        <w:spacing w:after="70" w:line="280"/>
      </w:pPr>
      <w:r>
        <w:rPr>
          <w:rFonts w:ascii="Calibri" w:cs="Calibri" w:eastAsia="Calibri" w:hAnsi="Calibri"/>
          <w:color w:val="0E1A1C"/>
          <w:sz w:val="21"/>
          <w:szCs w:val="21"/>
        </w:rPr>
        <w:t xml:space="preserve">Een volgorde die begint bij wie het voorstel kan dragen, niet bij wie het meest bereikbaar is.</w:t>
      </w:r>
    </w:p>
    <w:p>
      <w:pPr>
        <w:pStyle w:val="ListParagraph"/>
        <w:numPr>
          <w:ilvl w:val="0"/>
          <w:numId w:val="2"/>
        </w:numPr>
        <w:spacing w:after="70" w:line="280"/>
      </w:pPr>
      <w:r>
        <w:rPr>
          <w:rFonts w:ascii="Calibri" w:cs="Calibri" w:eastAsia="Calibri" w:hAnsi="Calibri"/>
          <w:color w:val="0E1A1C"/>
          <w:sz w:val="21"/>
          <w:szCs w:val="21"/>
        </w:rPr>
        <w:t xml:space="preserve">Een openingszin die risico wegneemt in plaats van overtuigt.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de voorstanders in kaart brengen.</w:t>
      </w:r>
    </w:p>
    <w:p>
      <w:pPr>
        <w:pStyle w:val="ListParagraph"/>
        <w:numPr>
          <w:ilvl w:val="0"/>
          <w:numId w:val="2"/>
        </w:numPr>
        <w:spacing w:after="70" w:line="280"/>
      </w:pPr>
      <w:r>
        <w:rPr>
          <w:rFonts w:ascii="Calibri" w:cs="Calibri" w:eastAsia="Calibri" w:hAnsi="Calibri"/>
          <w:color w:val="0E1A1C"/>
          <w:sz w:val="21"/>
          <w:szCs w:val="21"/>
        </w:rPr>
        <w:t xml:space="preserve">Het kwadrant hoge invloed en laag belang leeg laten. Vraag wie er niets bij wint en toch kan blokkeren.</w:t>
      </w:r>
    </w:p>
    <w:p>
      <w:pPr>
        <w:pStyle w:val="ListParagraph"/>
        <w:numPr>
          <w:ilvl w:val="0"/>
          <w:numId w:val="2"/>
        </w:numPr>
        <w:spacing w:after="70" w:line="280"/>
      </w:pPr>
      <w:r>
        <w:rPr>
          <w:rFonts w:ascii="Calibri" w:cs="Calibri" w:eastAsia="Calibri" w:hAnsi="Calibri"/>
          <w:color w:val="0E1A1C"/>
          <w:sz w:val="21"/>
          <w:szCs w:val="21"/>
        </w:rPr>
        <w:t xml:space="preserve">Weerstand als onwil interpreteren in plaats van als signaal.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kan jouw voorstel tegenhouden zonder er iets bij te winnen? En wat neem je bij hem weg?</w:t>
            </w:r>
          </w:p>
        </w:tc>
      </w:tr>
    </w:tbl>
    <w:p>
      <w:pPr>
        <w:pStyle w:val="Heading2"/>
        <w:spacing w:after="140" w:before="340"/>
      </w:pPr>
      <w:r>
        <w:rPr>
          <w:rFonts w:ascii="Cambria" w:cs="Cambria" w:eastAsia="Cambria" w:hAnsi="Cambria"/>
          <w:b/>
          <w:bCs/>
          <w:color w:val="0E1A1C"/>
          <w:sz w:val="26"/>
          <w:szCs w:val="26"/>
        </w:rPr>
        <w:t xml:space="preserve">Opdracht 2 — Business case rekenen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Wettelijke noodzaak als winnende grootheid, met vermeden risico als tweede.</w:t>
      </w:r>
    </w:p>
    <w:p>
      <w:pPr>
        <w:pStyle w:val="ListParagraph"/>
        <w:numPr>
          <w:ilvl w:val="0"/>
          <w:numId w:val="2"/>
        </w:numPr>
        <w:spacing w:after="70" w:line="280"/>
      </w:pPr>
      <w:r>
        <w:rPr>
          <w:rFonts w:ascii="Calibri" w:cs="Calibri" w:eastAsia="Calibri" w:hAnsi="Calibri"/>
          <w:color w:val="0E1A1C"/>
          <w:sz w:val="21"/>
          <w:szCs w:val="21"/>
        </w:rPr>
        <w:t xml:space="preserve">Directe kosten met echte uren en zichtbare aannames.</w:t>
      </w:r>
    </w:p>
    <w:p>
      <w:pPr>
        <w:pStyle w:val="ListParagraph"/>
        <w:numPr>
          <w:ilvl w:val="0"/>
          <w:numId w:val="2"/>
        </w:numPr>
        <w:spacing w:after="70" w:line="280"/>
      </w:pPr>
      <w:r>
        <w:rPr>
          <w:rFonts w:ascii="Calibri" w:cs="Calibri" w:eastAsia="Calibri" w:hAnsi="Calibri"/>
          <w:color w:val="0E1A1C"/>
          <w:sz w:val="21"/>
          <w:szCs w:val="21"/>
        </w:rPr>
        <w:t xml:space="preserve">Risicoargument met kans maal impact én de erkenning dat dat een schatting is.</w:t>
      </w:r>
    </w:p>
    <w:p>
      <w:pPr>
        <w:pStyle w:val="ListParagraph"/>
        <w:numPr>
          <w:ilvl w:val="0"/>
          <w:numId w:val="2"/>
        </w:numPr>
        <w:spacing w:after="70" w:line="280"/>
      </w:pPr>
      <w:r>
        <w:rPr>
          <w:rFonts w:ascii="Calibri" w:cs="Calibri" w:eastAsia="Calibri" w:hAnsi="Calibri"/>
          <w:color w:val="0E1A1C"/>
          <w:sz w:val="21"/>
          <w:szCs w:val="21"/>
        </w:rPr>
        <w:t xml:space="preserve">Beheerkosten na oplevering meegenomen.</w:t>
      </w:r>
    </w:p>
    <w:p>
      <w:pPr>
        <w:pStyle w:val="ListParagraph"/>
        <w:numPr>
          <w:ilvl w:val="0"/>
          <w:numId w:val="2"/>
        </w:numPr>
        <w:spacing w:after="70" w:line="280"/>
      </w:pPr>
      <w:r>
        <w:rPr>
          <w:rFonts w:ascii="Calibri" w:cs="Calibri" w:eastAsia="Calibri" w:hAnsi="Calibri"/>
          <w:color w:val="0E1A1C"/>
          <w:sz w:val="21"/>
          <w:szCs w:val="21"/>
        </w:rPr>
        <w:t xml:space="preserve">Een eerlijke terugverdientijd, ook als die vier jaar is.</w:t>
      </w:r>
    </w:p>
    <w:p>
      <w:pPr>
        <w:pStyle w:val="ListParagraph"/>
        <w:numPr>
          <w:ilvl w:val="0"/>
          <w:numId w:val="2"/>
        </w:numPr>
        <w:spacing w:after="70" w:line="280"/>
      </w:pPr>
      <w:r>
        <w:rPr>
          <w:rFonts w:ascii="Calibri" w:cs="Calibri" w:eastAsia="Calibri" w:hAnsi="Calibri"/>
          <w:color w:val="0E1A1C"/>
          <w:sz w:val="21"/>
          <w:szCs w:val="21"/>
        </w:rPr>
        <w:t xml:space="preserve">Vijf zinnen die een CFO zonder toelichting begrijpt.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Bouwen op bespaarde uren alleen. Vraag wat de CFO vanochtend bezighoudt.</w:t>
      </w:r>
    </w:p>
    <w:p>
      <w:pPr>
        <w:pStyle w:val="ListParagraph"/>
        <w:numPr>
          <w:ilvl w:val="0"/>
          <w:numId w:val="2"/>
        </w:numPr>
        <w:spacing w:after="70" w:line="280"/>
      </w:pPr>
      <w:r>
        <w:rPr>
          <w:rFonts w:ascii="Calibri" w:cs="Calibri" w:eastAsia="Calibri" w:hAnsi="Calibri"/>
          <w:color w:val="0E1A1C"/>
          <w:sz w:val="21"/>
          <w:szCs w:val="21"/>
        </w:rPr>
        <w:t xml:space="preserve">Aannames verwerken in het eindbedrag in plaats van apart tonen.</w:t>
      </w:r>
    </w:p>
    <w:p>
      <w:pPr>
        <w:pStyle w:val="ListParagraph"/>
        <w:numPr>
          <w:ilvl w:val="0"/>
          <w:numId w:val="2"/>
        </w:numPr>
        <w:spacing w:after="70" w:line="280"/>
      </w:pPr>
      <w:r>
        <w:rPr>
          <w:rFonts w:ascii="Calibri" w:cs="Calibri" w:eastAsia="Calibri" w:hAnsi="Calibri"/>
          <w:color w:val="0E1A1C"/>
          <w:sz w:val="21"/>
          <w:szCs w:val="21"/>
        </w:rPr>
        <w:t xml:space="preserve">Beheerkosten vergeten; dat is de post die na twee jaar pijn doet.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aanname valt een kritische CFO als eerste aan? Heb je daar een antwoord op?</w:t>
            </w:r>
          </w:p>
        </w:tc>
      </w:tr>
    </w:tbl>
    <w:p>
      <w:pPr>
        <w:pStyle w:val="Heading2"/>
        <w:spacing w:after="140" w:before="340"/>
      </w:pPr>
      <w:r>
        <w:rPr>
          <w:rFonts w:ascii="Cambria" w:cs="Cambria" w:eastAsia="Cambria" w:hAnsi="Cambria"/>
          <w:b/>
          <w:bCs/>
          <w:color w:val="0E1A1C"/>
          <w:sz w:val="26"/>
          <w:szCs w:val="26"/>
        </w:rPr>
        <w:t xml:space="preserve">Opdracht 3 — Workshop faciliteren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vraag zichtbaar in de zaal en gedurende de sessie zichtbaar gehouden.</w:t>
      </w:r>
    </w:p>
    <w:p>
      <w:pPr>
        <w:pStyle w:val="ListParagraph"/>
        <w:numPr>
          <w:ilvl w:val="0"/>
          <w:numId w:val="2"/>
        </w:numPr>
        <w:spacing w:after="70" w:line="280"/>
      </w:pPr>
      <w:r>
        <w:rPr>
          <w:rFonts w:ascii="Calibri" w:cs="Calibri" w:eastAsia="Calibri" w:hAnsi="Calibri"/>
          <w:color w:val="0E1A1C"/>
          <w:sz w:val="21"/>
          <w:szCs w:val="21"/>
        </w:rPr>
        <w:t xml:space="preserve">Individueel opschrijven vóór het gesprek, zodat de eerste spreker de uitkomst niet bepaalt.</w:t>
      </w:r>
    </w:p>
    <w:p>
      <w:pPr>
        <w:pStyle w:val="ListParagraph"/>
        <w:numPr>
          <w:ilvl w:val="0"/>
          <w:numId w:val="2"/>
        </w:numPr>
        <w:spacing w:after="70" w:line="280"/>
      </w:pPr>
      <w:r>
        <w:rPr>
          <w:rFonts w:ascii="Calibri" w:cs="Calibri" w:eastAsia="Calibri" w:hAnsi="Calibri"/>
          <w:color w:val="0E1A1C"/>
          <w:sz w:val="21"/>
          <w:szCs w:val="21"/>
        </w:rPr>
        <w:t xml:space="preserve">Toegewerkt naar één besluit in plaats van consensus over alles.</w:t>
      </w:r>
    </w:p>
    <w:p>
      <w:pPr>
        <w:pStyle w:val="ListParagraph"/>
        <w:numPr>
          <w:ilvl w:val="0"/>
          <w:numId w:val="2"/>
        </w:numPr>
        <w:spacing w:after="70" w:line="280"/>
      </w:pPr>
      <w:r>
        <w:rPr>
          <w:rFonts w:ascii="Calibri" w:cs="Calibri" w:eastAsia="Calibri" w:hAnsi="Calibri"/>
          <w:color w:val="0E1A1C"/>
          <w:sz w:val="21"/>
          <w:szCs w:val="21"/>
        </w:rPr>
        <w:t xml:space="preserve">Afgesloten met wie wat doet vóór welke datum.</w:t>
      </w:r>
    </w:p>
    <w:p>
      <w:pPr>
        <w:pStyle w:val="ListParagraph"/>
        <w:numPr>
          <w:ilvl w:val="0"/>
          <w:numId w:val="2"/>
        </w:numPr>
        <w:spacing w:after="70" w:line="280"/>
      </w:pPr>
      <w:r>
        <w:rPr>
          <w:rFonts w:ascii="Calibri" w:cs="Calibri" w:eastAsia="Calibri" w:hAnsi="Calibri"/>
          <w:color w:val="0E1A1C"/>
          <w:sz w:val="21"/>
          <w:szCs w:val="21"/>
        </w:rPr>
        <w:t xml:space="preserve">Een eerlijke observatie over het moment waarop de sessie dreigde af te dwalen.</w:t>
      </w:r>
    </w:p>
    <w:p>
      <w:pPr>
        <w:pStyle w:val="ListParagraph"/>
        <w:numPr>
          <w:ilvl w:val="0"/>
          <w:numId w:val="2"/>
        </w:numPr>
        <w:spacing w:after="70" w:line="280"/>
      </w:pPr>
      <w:r>
        <w:rPr>
          <w:rFonts w:ascii="Calibri" w:cs="Calibri" w:eastAsia="Calibri" w:hAnsi="Calibri"/>
          <w:color w:val="0E1A1C"/>
          <w:sz w:val="21"/>
          <w:szCs w:val="21"/>
        </w:rPr>
        <w:t xml:space="preserve">Het onderscheid tussen sturen en faciliteren benoemd, of expliciet gekozen om te sturen.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vraag mondeling stellen en niet opschrijven; hij verdwijnt binnen tien minuten.</w:t>
      </w:r>
    </w:p>
    <w:p>
      <w:pPr>
        <w:pStyle w:val="ListParagraph"/>
        <w:numPr>
          <w:ilvl w:val="0"/>
          <w:numId w:val="2"/>
        </w:numPr>
        <w:spacing w:after="70" w:line="280"/>
      </w:pPr>
      <w:r>
        <w:rPr>
          <w:rFonts w:ascii="Calibri" w:cs="Calibri" w:eastAsia="Calibri" w:hAnsi="Calibri"/>
          <w:color w:val="0E1A1C"/>
          <w:sz w:val="21"/>
          <w:szCs w:val="21"/>
        </w:rPr>
        <w:t xml:space="preserve">Meteen laten praten. De eerste spreker bepaalt dan de uitkomst.</w:t>
      </w:r>
    </w:p>
    <w:p>
      <w:pPr>
        <w:pStyle w:val="ListParagraph"/>
        <w:numPr>
          <w:ilvl w:val="0"/>
          <w:numId w:val="2"/>
        </w:numPr>
        <w:spacing w:after="70" w:line="280"/>
      </w:pPr>
      <w:r>
        <w:rPr>
          <w:rFonts w:ascii="Calibri" w:cs="Calibri" w:eastAsia="Calibri" w:hAnsi="Calibri"/>
          <w:color w:val="0E1A1C"/>
          <w:sz w:val="21"/>
          <w:szCs w:val="21"/>
        </w:rPr>
        <w:t xml:space="preserve">Afsluiten met "we nemen dit mee". Dat is geen besluit.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Faciliteerde je, of stuurde je? En had je dat aan het begin gezegd als je het wist?</w:t>
            </w:r>
          </w:p>
        </w:tc>
      </w:tr>
    </w:tbl>
    <w:p>
      <w:pPr>
        <w:pStyle w:val="Heading2"/>
        <w:spacing w:after="140" w:before="340"/>
      </w:pPr>
      <w:r>
        <w:rPr>
          <w:rFonts w:ascii="Cambria" w:cs="Cambria" w:eastAsia="Cambria" w:hAnsi="Cambria"/>
          <w:b/>
          <w:bCs/>
          <w:color w:val="0E1A1C"/>
          <w:sz w:val="26"/>
          <w:szCs w:val="26"/>
        </w:rPr>
        <w:t xml:space="preserve">Opdracht 4 — Prioriteren onder schaarste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Afhankelijkheden eerst in kaart, met eigenaarschap als voorwaarde voor definities, kwaliteitsnormen en meting.</w:t>
      </w:r>
    </w:p>
    <w:p>
      <w:pPr>
        <w:pStyle w:val="ListParagraph"/>
        <w:numPr>
          <w:ilvl w:val="0"/>
          <w:numId w:val="2"/>
        </w:numPr>
        <w:spacing w:after="70" w:line="280"/>
      </w:pPr>
      <w:r>
        <w:rPr>
          <w:rFonts w:ascii="Calibri" w:cs="Calibri" w:eastAsia="Calibri" w:hAnsi="Calibri"/>
          <w:color w:val="0E1A1C"/>
          <w:sz w:val="21"/>
          <w:szCs w:val="21"/>
        </w:rPr>
        <w:t xml:space="preserve">MoSCoW levert tien of elf Musts op — en dat wordt herkend als methodefout, niet als groepsfout.</w:t>
      </w:r>
    </w:p>
    <w:p>
      <w:pPr>
        <w:pStyle w:val="ListParagraph"/>
        <w:numPr>
          <w:ilvl w:val="0"/>
          <w:numId w:val="2"/>
        </w:numPr>
        <w:spacing w:after="70" w:line="280"/>
      </w:pPr>
      <w:r>
        <w:rPr>
          <w:rFonts w:ascii="Calibri" w:cs="Calibri" w:eastAsia="Calibri" w:hAnsi="Calibri"/>
          <w:color w:val="0E1A1C"/>
          <w:sz w:val="21"/>
          <w:szCs w:val="21"/>
        </w:rPr>
        <w:t xml:space="preserve">Gedwongen rangorde daadwerkelijk zonder gelijke plaatsen.</w:t>
      </w:r>
    </w:p>
    <w:p>
      <w:pPr>
        <w:pStyle w:val="ListParagraph"/>
        <w:numPr>
          <w:ilvl w:val="0"/>
          <w:numId w:val="2"/>
        </w:numPr>
        <w:spacing w:after="70" w:line="280"/>
      </w:pPr>
      <w:r>
        <w:rPr>
          <w:rFonts w:ascii="Calibri" w:cs="Calibri" w:eastAsia="Calibri" w:hAnsi="Calibri"/>
          <w:color w:val="0E1A1C"/>
          <w:sz w:val="21"/>
          <w:szCs w:val="21"/>
        </w:rPr>
        <w:t xml:space="preserve">Het verschil tussen beide uitkomsten verklaard.</w:t>
      </w:r>
    </w:p>
    <w:p>
      <w:pPr>
        <w:pStyle w:val="ListParagraph"/>
        <w:numPr>
          <w:ilvl w:val="0"/>
          <w:numId w:val="2"/>
        </w:numPr>
        <w:spacing w:after="70" w:line="280"/>
      </w:pPr>
      <w:r>
        <w:rPr>
          <w:rFonts w:ascii="Calibri" w:cs="Calibri" w:eastAsia="Calibri" w:hAnsi="Calibri"/>
          <w:color w:val="0E1A1C"/>
          <w:sz w:val="21"/>
          <w:szCs w:val="21"/>
        </w:rPr>
        <w:t xml:space="preserve">Per afvaller een zin die de boodschap draagt zonder de relatie te beschadigen.</w:t>
      </w:r>
    </w:p>
    <w:p>
      <w:pPr>
        <w:pStyle w:val="ListParagraph"/>
        <w:numPr>
          <w:ilvl w:val="0"/>
          <w:numId w:val="2"/>
        </w:numPr>
        <w:spacing w:after="70" w:line="280"/>
      </w:pPr>
      <w:r>
        <w:rPr>
          <w:rFonts w:ascii="Calibri" w:cs="Calibri" w:eastAsia="Calibri" w:hAnsi="Calibri"/>
          <w:color w:val="0E1A1C"/>
          <w:sz w:val="21"/>
          <w:szCs w:val="21"/>
        </w:rPr>
        <w:t xml:space="preserve">Het verplaatste conflict benoemd: van maand drie naar vandaag.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afhankelijkheden overslaan en de zichtbaarste initiatieven bovenaan zetten.</w:t>
      </w:r>
    </w:p>
    <w:p>
      <w:pPr>
        <w:pStyle w:val="ListParagraph"/>
        <w:numPr>
          <w:ilvl w:val="0"/>
          <w:numId w:val="2"/>
        </w:numPr>
        <w:spacing w:after="70" w:line="280"/>
      </w:pPr>
      <w:r>
        <w:rPr>
          <w:rFonts w:ascii="Calibri" w:cs="Calibri" w:eastAsia="Calibri" w:hAnsi="Calibri"/>
          <w:color w:val="0E1A1C"/>
          <w:sz w:val="21"/>
          <w:szCs w:val="21"/>
        </w:rPr>
        <w:t xml:space="preserve">Bij gedwongen rangorde alsnog gelijke plaatsen toestaan. Grijp in.</w:t>
      </w:r>
    </w:p>
    <w:p>
      <w:pPr>
        <w:pStyle w:val="ListParagraph"/>
        <w:numPr>
          <w:ilvl w:val="0"/>
          <w:numId w:val="2"/>
        </w:numPr>
        <w:spacing w:after="70" w:line="280"/>
      </w:pPr>
      <w:r>
        <w:rPr>
          <w:rFonts w:ascii="Calibri" w:cs="Calibri" w:eastAsia="Calibri" w:hAnsi="Calibri"/>
          <w:color w:val="0E1A1C"/>
          <w:sz w:val="21"/>
          <w:szCs w:val="21"/>
        </w:rPr>
        <w:t xml:space="preserve">Afvallers niet melden; dan komt het conflict alsnog in maand drie.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initiatief stond bij MoSCoW bovenaan en valt bij gedwongen rangorde af? Wat zegt dat?</w:t>
            </w:r>
          </w:p>
        </w:tc>
      </w:tr>
    </w:tbl>
    <w:p>
      <w:pPr>
        <w:pStyle w:val="Heading2"/>
        <w:spacing w:after="140" w:before="340"/>
      </w:pPr>
      <w:r>
        <w:rPr>
          <w:rFonts w:ascii="Cambria" w:cs="Cambria" w:eastAsia="Cambria" w:hAnsi="Cambria"/>
          <w:b/>
          <w:bCs/>
          <w:color w:val="0E1A1C"/>
          <w:sz w:val="26"/>
          <w:szCs w:val="26"/>
        </w:rPr>
        <w:t xml:space="preserve">Opdracht 5 — Het advies van één pagina</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Vijf blokken herkenbaar, binnen één pagina.</w:t>
      </w:r>
    </w:p>
    <w:p>
      <w:pPr>
        <w:pStyle w:val="ListParagraph"/>
        <w:numPr>
          <w:ilvl w:val="0"/>
          <w:numId w:val="2"/>
        </w:numPr>
        <w:spacing w:after="70" w:line="280"/>
      </w:pPr>
      <w:r>
        <w:rPr>
          <w:rFonts w:ascii="Calibri" w:cs="Calibri" w:eastAsia="Calibri" w:hAnsi="Calibri"/>
          <w:color w:val="0E1A1C"/>
          <w:sz w:val="21"/>
          <w:szCs w:val="21"/>
        </w:rPr>
        <w:t xml:space="preserve">Een advieszin waar iemand het mee oneens kan zijn.</w:t>
      </w:r>
    </w:p>
    <w:p>
      <w:pPr>
        <w:pStyle w:val="ListParagraph"/>
        <w:numPr>
          <w:ilvl w:val="0"/>
          <w:numId w:val="2"/>
        </w:numPr>
        <w:spacing w:after="70" w:line="280"/>
      </w:pPr>
      <w:r>
        <w:rPr>
          <w:rFonts w:ascii="Calibri" w:cs="Calibri" w:eastAsia="Calibri" w:hAnsi="Calibri"/>
          <w:color w:val="0E1A1C"/>
          <w:sz w:val="21"/>
          <w:szCs w:val="21"/>
        </w:rPr>
        <w:t xml:space="preserve">Drie argumenten, met verantwoording waarom de rest wegvalt.</w:t>
      </w:r>
    </w:p>
    <w:p>
      <w:pPr>
        <w:pStyle w:val="ListParagraph"/>
        <w:numPr>
          <w:ilvl w:val="0"/>
          <w:numId w:val="2"/>
        </w:numPr>
        <w:spacing w:after="70" w:line="280"/>
      </w:pPr>
      <w:r>
        <w:rPr>
          <w:rFonts w:ascii="Calibri" w:cs="Calibri" w:eastAsia="Calibri" w:hAnsi="Calibri"/>
          <w:color w:val="0E1A1C"/>
          <w:sz w:val="21"/>
          <w:szCs w:val="21"/>
        </w:rPr>
        <w:t xml:space="preserve">Een expliciete regel over wat er gebeurt bij nee.</w:t>
      </w:r>
    </w:p>
    <w:p>
      <w:pPr>
        <w:pStyle w:val="ListParagraph"/>
        <w:numPr>
          <w:ilvl w:val="0"/>
          <w:numId w:val="2"/>
        </w:numPr>
        <w:spacing w:after="70" w:line="280"/>
      </w:pPr>
      <w:r>
        <w:rPr>
          <w:rFonts w:ascii="Calibri" w:cs="Calibri" w:eastAsia="Calibri" w:hAnsi="Calibri"/>
          <w:color w:val="0E1A1C"/>
          <w:sz w:val="21"/>
          <w:szCs w:val="21"/>
        </w:rPr>
        <w:t xml:space="preserve">Methode volledig naar de bijlage.</w:t>
      </w:r>
    </w:p>
    <w:p>
      <w:pPr>
        <w:pStyle w:val="ListParagraph"/>
        <w:numPr>
          <w:ilvl w:val="0"/>
          <w:numId w:val="2"/>
        </w:numPr>
        <w:spacing w:after="70" w:line="280"/>
      </w:pPr>
      <w:r>
        <w:rPr>
          <w:rFonts w:ascii="Calibri" w:cs="Calibri" w:eastAsia="Calibri" w:hAnsi="Calibri"/>
          <w:color w:val="0E1A1C"/>
          <w:sz w:val="21"/>
          <w:szCs w:val="21"/>
        </w:rPr>
        <w:t xml:space="preserve">Ingekort na de peer review, zichtbaar aan wat er weg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Anderhalve pagina met kleinere letters. Streng op zijn.</w:t>
      </w:r>
    </w:p>
    <w:p>
      <w:pPr>
        <w:pStyle w:val="ListParagraph"/>
        <w:numPr>
          <w:ilvl w:val="0"/>
          <w:numId w:val="2"/>
        </w:numPr>
        <w:spacing w:after="70" w:line="280"/>
      </w:pPr>
      <w:r>
        <w:rPr>
          <w:rFonts w:ascii="Calibri" w:cs="Calibri" w:eastAsia="Calibri" w:hAnsi="Calibri"/>
          <w:color w:val="0E1A1C"/>
          <w:sz w:val="21"/>
          <w:szCs w:val="21"/>
        </w:rPr>
        <w:t xml:space="preserve">Het gevraagde besluit impliciet laten: "wij adviseren aandacht voor dit onderwerp".</w:t>
      </w:r>
    </w:p>
    <w:p>
      <w:pPr>
        <w:pStyle w:val="ListParagraph"/>
        <w:numPr>
          <w:ilvl w:val="0"/>
          <w:numId w:val="2"/>
        </w:numPr>
        <w:spacing w:after="70" w:line="280"/>
      </w:pPr>
      <w:r>
        <w:rPr>
          <w:rFonts w:ascii="Calibri" w:cs="Calibri" w:eastAsia="Calibri" w:hAnsi="Calibri"/>
          <w:color w:val="0E1A1C"/>
          <w:sz w:val="21"/>
          <w:szCs w:val="21"/>
        </w:rPr>
        <w:t xml:space="preserve">Voorbehouden die het advies ondergraven in plaats van richting geven.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Waar zou een lezer gaan discussiëren in plaats van beslissen? Wat haal je daar weg?</w:t>
            </w:r>
          </w:p>
        </w:tc>
      </w:tr>
    </w:tbl>
    <w:p>
      <w:pPr>
        <w:pStyle w:val="Heading2"/>
        <w:spacing w:after="140" w:before="340"/>
      </w:pPr>
      <w:r>
        <w:rPr>
          <w:rFonts w:ascii="Cambria" w:cs="Cambria" w:eastAsia="Cambria" w:hAnsi="Cambria"/>
          <w:b/>
          <w:bCs/>
          <w:color w:val="0E1A1C"/>
          <w:sz w:val="26"/>
          <w:szCs w:val="26"/>
        </w:rPr>
        <w:t xml:space="preserve">Opdracht 6 — Het leveranciersgesprek</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Criteria uit deel 13 gebruikt, met per criterium een toetsvraag.</w:t>
      </w:r>
    </w:p>
    <w:p>
      <w:pPr>
        <w:pStyle w:val="ListParagraph"/>
        <w:numPr>
          <w:ilvl w:val="0"/>
          <w:numId w:val="2"/>
        </w:numPr>
        <w:spacing w:after="70" w:line="280"/>
      </w:pPr>
      <w:r>
        <w:rPr>
          <w:rFonts w:ascii="Calibri" w:cs="Calibri" w:eastAsia="Calibri" w:hAnsi="Calibri"/>
          <w:color w:val="0E1A1C"/>
          <w:sz w:val="21"/>
          <w:szCs w:val="21"/>
        </w:rPr>
        <w:t xml:space="preserve">De vraag naar de vertrokken klant daadwerkelijk gesteld.</w:t>
      </w:r>
    </w:p>
    <w:p>
      <w:pPr>
        <w:pStyle w:val="ListParagraph"/>
        <w:numPr>
          <w:ilvl w:val="0"/>
          <w:numId w:val="2"/>
        </w:numPr>
        <w:spacing w:after="70" w:line="280"/>
      </w:pPr>
      <w:r>
        <w:rPr>
          <w:rFonts w:ascii="Calibri" w:cs="Calibri" w:eastAsia="Calibri" w:hAnsi="Calibri"/>
          <w:color w:val="0E1A1C"/>
          <w:sz w:val="21"/>
          <w:szCs w:val="21"/>
        </w:rPr>
        <w:t xml:space="preserve">De demo weerstaan met het verzoek om het eigen scenario op eigen data.</w:t>
      </w:r>
    </w:p>
    <w:p>
      <w:pPr>
        <w:pStyle w:val="ListParagraph"/>
        <w:numPr>
          <w:ilvl w:val="0"/>
          <w:numId w:val="2"/>
        </w:numPr>
        <w:spacing w:after="70" w:line="280"/>
      </w:pPr>
      <w:r>
        <w:rPr>
          <w:rFonts w:ascii="Calibri" w:cs="Calibri" w:eastAsia="Calibri" w:hAnsi="Calibri"/>
          <w:color w:val="0E1A1C"/>
          <w:sz w:val="21"/>
          <w:szCs w:val="21"/>
        </w:rPr>
        <w:t xml:space="preserve">De vraag naar beheerlast in fte bij een vergelijkbare klant.</w:t>
      </w:r>
    </w:p>
    <w:p>
      <w:pPr>
        <w:pStyle w:val="ListParagraph"/>
        <w:numPr>
          <w:ilvl w:val="0"/>
          <w:numId w:val="2"/>
        </w:numPr>
        <w:spacing w:after="70" w:line="280"/>
      </w:pPr>
      <w:r>
        <w:rPr>
          <w:rFonts w:ascii="Calibri" w:cs="Calibri" w:eastAsia="Calibri" w:hAnsi="Calibri"/>
          <w:color w:val="0E1A1C"/>
          <w:sz w:val="21"/>
          <w:szCs w:val="21"/>
        </w:rPr>
        <w:t xml:space="preserve">De ontweken vraag genoteerd en herkend als informatie.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standaardpresentatie laten gebeuren. Grijp in; dat is precies wat de opdracht wil voorkomen.</w:t>
      </w:r>
    </w:p>
    <w:p>
      <w:pPr>
        <w:pStyle w:val="ListParagraph"/>
        <w:numPr>
          <w:ilvl w:val="0"/>
          <w:numId w:val="2"/>
        </w:numPr>
        <w:spacing w:after="70" w:line="280"/>
      </w:pPr>
      <w:r>
        <w:rPr>
          <w:rFonts w:ascii="Calibri" w:cs="Calibri" w:eastAsia="Calibri" w:hAnsi="Calibri"/>
          <w:color w:val="0E1A1C"/>
          <w:sz w:val="21"/>
          <w:szCs w:val="21"/>
        </w:rPr>
        <w:t xml:space="preserve">De ongemakkelijke vragen overslaan. Ze zijn de kern.</w:t>
      </w:r>
    </w:p>
    <w:p>
      <w:pPr>
        <w:pStyle w:val="ListParagraph"/>
        <w:numPr>
          <w:ilvl w:val="0"/>
          <w:numId w:val="2"/>
        </w:numPr>
        <w:spacing w:after="70" w:line="280"/>
      </w:pPr>
      <w:r>
        <w:rPr>
          <w:rFonts w:ascii="Calibri" w:cs="Calibri" w:eastAsia="Calibri" w:hAnsi="Calibri"/>
          <w:color w:val="0E1A1C"/>
          <w:sz w:val="21"/>
          <w:szCs w:val="21"/>
        </w:rPr>
        <w:t xml:space="preserve">Alle antwoorden noteren zonder te beoordelen of er antwoord is gegeven.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vraag werd ontweken? En wat leidt je daaruit af?</w:t>
            </w:r>
          </w:p>
        </w:tc>
      </w:tr>
    </w:tbl>
    <w:p>
      <w:pPr>
        <w:pStyle w:val="Heading2"/>
        <w:spacing w:after="140" w:before="340"/>
      </w:pPr>
      <w:r>
        <w:rPr>
          <w:rFonts w:ascii="Cambria" w:cs="Cambria" w:eastAsia="Cambria" w:hAnsi="Cambria"/>
          <w:b/>
          <w:bCs/>
          <w:color w:val="0E1A1C"/>
          <w:sz w:val="26"/>
          <w:szCs w:val="26"/>
        </w:rPr>
        <w:t xml:space="preserve">Opdracht 7 — Je afgewezen advies</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echt advies, met het genomen besluit erbij.</w:t>
      </w:r>
    </w:p>
    <w:p>
      <w:pPr>
        <w:pStyle w:val="ListParagraph"/>
        <w:numPr>
          <w:ilvl w:val="0"/>
          <w:numId w:val="2"/>
        </w:numPr>
        <w:spacing w:after="70" w:line="280"/>
      </w:pPr>
      <w:r>
        <w:rPr>
          <w:rFonts w:ascii="Calibri" w:cs="Calibri" w:eastAsia="Calibri" w:hAnsi="Calibri"/>
          <w:color w:val="0E1A1C"/>
          <w:sz w:val="21"/>
          <w:szCs w:val="21"/>
        </w:rPr>
        <w:t xml:space="preserve">Een van de vijf valkuilen herkend als van toepassing, met onderbouwing.</w:t>
      </w:r>
    </w:p>
    <w:p>
      <w:pPr>
        <w:pStyle w:val="ListParagraph"/>
        <w:numPr>
          <w:ilvl w:val="0"/>
          <w:numId w:val="2"/>
        </w:numPr>
        <w:spacing w:after="70" w:line="280"/>
      </w:pPr>
      <w:r>
        <w:rPr>
          <w:rFonts w:ascii="Calibri" w:cs="Calibri" w:eastAsia="Calibri" w:hAnsi="Calibri"/>
          <w:color w:val="0E1A1C"/>
          <w:sz w:val="21"/>
          <w:szCs w:val="21"/>
        </w:rPr>
        <w:t xml:space="preserve">Een gemiste stakeholder gevonden bij de analyse achteraf.</w:t>
      </w:r>
    </w:p>
    <w:p>
      <w:pPr>
        <w:pStyle w:val="ListParagraph"/>
        <w:numPr>
          <w:ilvl w:val="0"/>
          <w:numId w:val="2"/>
        </w:numPr>
        <w:spacing w:after="70" w:line="280"/>
      </w:pPr>
      <w:r>
        <w:rPr>
          <w:rFonts w:ascii="Calibri" w:cs="Calibri" w:eastAsia="Calibri" w:hAnsi="Calibri"/>
          <w:color w:val="0E1A1C"/>
          <w:sz w:val="21"/>
          <w:szCs w:val="21"/>
        </w:rPr>
        <w:t xml:space="preserve">Het onderscheid grens versus verschil van inzicht correct toegepast.</w:t>
      </w:r>
    </w:p>
    <w:p>
      <w:pPr>
        <w:pStyle w:val="ListParagraph"/>
        <w:numPr>
          <w:ilvl w:val="0"/>
          <w:numId w:val="2"/>
        </w:numPr>
        <w:spacing w:after="70" w:line="280"/>
      </w:pPr>
      <w:r>
        <w:rPr>
          <w:rFonts w:ascii="Calibri" w:cs="Calibri" w:eastAsia="Calibri" w:hAnsi="Calibri"/>
          <w:color w:val="0E1A1C"/>
          <w:sz w:val="21"/>
          <w:szCs w:val="21"/>
        </w:rPr>
        <w:t xml:space="preserve">Een herschreven advies dat aantoonbaar korter en scherper is.</w:t>
      </w:r>
    </w:p>
    <w:p>
      <w:pPr>
        <w:pStyle w:val="ListParagraph"/>
        <w:numPr>
          <w:ilvl w:val="0"/>
          <w:numId w:val="2"/>
        </w:numPr>
        <w:spacing w:after="70" w:line="280"/>
      </w:pPr>
      <w:r>
        <w:rPr>
          <w:rFonts w:ascii="Calibri" w:cs="Calibri" w:eastAsia="Calibri" w:hAnsi="Calibri"/>
          <w:color w:val="0E1A1C"/>
          <w:sz w:val="21"/>
          <w:szCs w:val="21"/>
        </w:rPr>
        <w:t xml:space="preserve">Een eerlijk oordeel, ook als dat luidt dat de vorm niets had veranderd.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afwijzing volledig aan de opdrachtgever toeschrijven.</w:t>
      </w:r>
    </w:p>
    <w:p>
      <w:pPr>
        <w:pStyle w:val="ListParagraph"/>
        <w:numPr>
          <w:ilvl w:val="0"/>
          <w:numId w:val="2"/>
        </w:numPr>
        <w:spacing w:after="70" w:line="280"/>
      </w:pPr>
      <w:r>
        <w:rPr>
          <w:rFonts w:ascii="Calibri" w:cs="Calibri" w:eastAsia="Calibri" w:hAnsi="Calibri"/>
          <w:color w:val="0E1A1C"/>
          <w:sz w:val="21"/>
          <w:szCs w:val="21"/>
        </w:rPr>
        <w:t xml:space="preserve">Concluderen dat de vorm alles had opgelost. Soms stond het besluit al vast.</w:t>
      </w:r>
    </w:p>
    <w:p>
      <w:pPr>
        <w:pStyle w:val="ListParagraph"/>
        <w:numPr>
          <w:ilvl w:val="0"/>
          <w:numId w:val="2"/>
        </w:numPr>
        <w:spacing w:after="70" w:line="280"/>
      </w:pPr>
      <w:r>
        <w:rPr>
          <w:rFonts w:ascii="Calibri" w:cs="Calibri" w:eastAsia="Calibri" w:hAnsi="Calibri"/>
          <w:color w:val="0E1A1C"/>
          <w:sz w:val="21"/>
          <w:szCs w:val="21"/>
        </w:rPr>
        <w:t xml:space="preserve">Het onderscheid grens versus inzicht overslaan; dat bepaalt of escaleren juist was.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Stond het besluit al vast? En zo ja, had je dat eerder kunnen weten?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Waarom komt een business case op uitsluitend bespaarde uren bij Meridiaan niet door de stuurgroep?</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Hij beantwoordt de verkeerde vraag; hier winnen wettelijke noodzaak en vermeden risico.</w:t>
      </w:r>
    </w:p>
    <w:p>
      <w:pPr>
        <w:spacing w:after="40" w:line="275"/>
        <w:ind w:left="420"/>
      </w:pPr>
      <w:r>
        <w:rPr>
          <w:rFonts w:ascii="Calibri" w:cs="Calibri" w:eastAsia="Calibri" w:hAnsi="Calibri"/>
          <w:color w:val="5F7375"/>
          <w:sz w:val="19"/>
          <w:szCs w:val="19"/>
        </w:rPr>
        <w:t xml:space="preserve">Begin bij de vraag welke grootheid bij deze opdrachtgever het besluit bepaalt.</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Welke requirementscategorie ontbreekt doorgaans?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Aantoonbaarheid</w:t>
      </w:r>
    </w:p>
    <w:p>
      <w:pPr>
        <w:spacing w:after="40" w:line="275"/>
        <w:ind w:left="420"/>
      </w:pPr>
      <w:r>
        <w:rPr>
          <w:rFonts w:ascii="Calibri" w:cs="Calibri" w:eastAsia="Calibri" w:hAnsi="Calibri"/>
          <w:color w:val="5F7375"/>
          <w:sz w:val="19"/>
          <w:szCs w:val="19"/>
        </w:rPr>
        <w:t xml:space="preserve">Aantoonbaarheid en actualiteit worden het vaakst overgeslagen — en de eerste is precies wat een toezichthouder vraagt.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Waarom wordt de actualiteitseis vrijwel altijd te hoog gesteld?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niemand het besluitritme erbij heeft betrokken.</w:t>
      </w:r>
    </w:p>
    <w:p>
      <w:pPr>
        <w:spacing w:after="40" w:line="275"/>
        <w:ind w:left="420"/>
      </w:pPr>
      <w:r>
        <w:rPr>
          <w:rFonts w:ascii="Calibri" w:cs="Calibri" w:eastAsia="Calibri" w:hAnsi="Calibri"/>
          <w:color w:val="5F7375"/>
          <w:sz w:val="19"/>
          <w:szCs w:val="19"/>
        </w:rPr>
        <w:t xml:space="preserve">Als het besluit maandelijks valt, hoeft de data niet dagelijks vers te zijn.</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Welke prioriteringsmethode dwingt het sterkst tot een keuze?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Gedwongen rangorde</w:t>
      </w:r>
    </w:p>
    <w:p>
      <w:pPr>
        <w:spacing w:after="40" w:line="275"/>
        <w:ind w:left="420"/>
      </w:pPr>
      <w:r>
        <w:rPr>
          <w:rFonts w:ascii="Calibri" w:cs="Calibri" w:eastAsia="Calibri" w:hAnsi="Calibri"/>
          <w:color w:val="5F7375"/>
          <w:sz w:val="19"/>
          <w:szCs w:val="19"/>
        </w:rPr>
        <w:t xml:space="preserve">Hij levert ook het meeste conflict op — en dat conflict hoort in de workshop plaats te vinden, niet drie maanden later.</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is de valkuil van MoSCoW?</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Alles wordt Must, tenzij je een limiet op het aantal Musts stelt.</w:t>
      </w:r>
    </w:p>
    <w:p>
      <w:pPr>
        <w:spacing w:after="40" w:line="275"/>
        <w:ind w:left="420"/>
      </w:pPr>
      <w:r>
        <w:rPr>
          <w:rFonts w:ascii="Calibri" w:cs="Calibri" w:eastAsia="Calibri" w:hAnsi="Calibri"/>
          <w:color w:val="5F7375"/>
          <w:sz w:val="19"/>
          <w:szCs w:val="19"/>
        </w:rPr>
        <w:t xml:space="preserve">Een prioritering die niet tot afvallen dwingt, is geen prioritering.</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Welk stakeholderkwadrant is het gevaarlijkst voor je voorstel?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Hoge invloed, laag belang</w:t>
      </w:r>
    </w:p>
    <w:p>
      <w:pPr>
        <w:spacing w:after="40" w:line="275"/>
        <w:ind w:left="420"/>
      </w:pPr>
      <w:r>
        <w:rPr>
          <w:rFonts w:ascii="Calibri" w:cs="Calibri" w:eastAsia="Calibri" w:hAnsi="Calibri"/>
          <w:color w:val="5F7375"/>
          <w:sz w:val="19"/>
          <w:szCs w:val="19"/>
        </w:rPr>
        <w:t xml:space="preserve">Zij kunnen blokkeren zonder er iets bij te winnen. Betrek ze vroeg en neem hun risico weg.</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"Hier gaat IT over" — waar duidt die reactie op?</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Op onduidelijke besluitrechten.</w:t>
      </w:r>
    </w:p>
    <w:p>
      <w:pPr>
        <w:spacing w:after="40" w:line="275"/>
        <w:ind w:left="420"/>
      </w:pPr>
      <w:r>
        <w:rPr>
          <w:rFonts w:ascii="Calibri" w:cs="Calibri" w:eastAsia="Calibri" w:hAnsi="Calibri"/>
          <w:color w:val="5F7375"/>
          <w:sz w:val="19"/>
          <w:szCs w:val="19"/>
        </w:rPr>
        <w:t xml:space="preserve">Reageer met de besluitrechtenmatrix uit deel 16, niet met overtuigingskracht.</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Waarom laat je deelnemers in een workshop eerst individueel opschrijven?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Anders bepaalt de eerste spreker de uitkomst.</w:t>
      </w:r>
    </w:p>
    <w:p>
      <w:pPr>
        <w:spacing w:after="40" w:line="275"/>
        <w:ind w:left="420"/>
      </w:pPr>
      <w:r>
        <w:rPr>
          <w:rFonts w:ascii="Calibri" w:cs="Calibri" w:eastAsia="Calibri" w:hAnsi="Calibri"/>
          <w:color w:val="5F7375"/>
          <w:sz w:val="19"/>
          <w:szCs w:val="19"/>
        </w:rPr>
        <w:t xml:space="preserve">Individueel formuleren vóór het gesprek maakt afwijkende opvattingen zichtbaar.</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is de valkuil van de facilitator die het antwoord al weet?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Hij stuurt terwijl hij faciliteert — en verliest de zaal zodra iemand dat doorheeft.</w:t>
      </w:r>
    </w:p>
    <w:p>
      <w:pPr>
        <w:spacing w:after="40" w:line="275"/>
        <w:ind w:left="420"/>
      </w:pPr>
      <w:r>
        <w:rPr>
          <w:rFonts w:ascii="Calibri" w:cs="Calibri" w:eastAsia="Calibri" w:hAnsi="Calibri"/>
          <w:color w:val="5F7375"/>
          <w:sz w:val="19"/>
          <w:szCs w:val="19"/>
        </w:rPr>
        <w:t xml:space="preserve">Sturen mag, mits benoemd: "ik heb hier een opvatting over, ik zeg hem aan het eind."</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Welk blok wordt in een advies vrijwel altijd weggelaten en is het krachtigst?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Wat er gebeurt bij nee</w:t>
      </w:r>
    </w:p>
    <w:p>
      <w:pPr>
        <w:spacing w:after="40" w:line="275"/>
        <w:ind w:left="420"/>
      </w:pPr>
      <w:r>
        <w:rPr>
          <w:rFonts w:ascii="Calibri" w:cs="Calibri" w:eastAsia="Calibri" w:hAnsi="Calibri"/>
          <w:color w:val="5F7375"/>
          <w:sz w:val="19"/>
          <w:szCs w:val="19"/>
        </w:rPr>
        <w:t xml:space="preserve">Hij dwingt de lezer tot een keuze in plaats van tot uitstel, en toont dat je het alternatief hebt doordacht.</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is de beste vraag aan een leverancier tijdens een selectie?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Welke klant is bij u vertrokken, en waarom?</w:t>
      </w:r>
    </w:p>
    <w:p>
      <w:pPr>
        <w:spacing w:after="40" w:line="275"/>
        <w:ind w:left="420"/>
      </w:pPr>
      <w:r>
        <w:rPr>
          <w:rFonts w:ascii="Calibri" w:cs="Calibri" w:eastAsia="Calibri" w:hAnsi="Calibri"/>
          <w:color w:val="5F7375"/>
          <w:sz w:val="19"/>
          <w:szCs w:val="19"/>
        </w:rPr>
        <w:t xml:space="preserve">Het antwoord zegt meer dan drie referenties. Een leverancier zonder vertrokken klanten is te jong of niet eerlijk.</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Je advies wordt niet overgenomen. Wanneer escaleer je?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Alleen bij een grens, zoals een verwerking zonder grondslag — niet bij een verschil van inzicht.</w:t>
      </w:r>
    </w:p>
    <w:p>
      <w:pPr>
        <w:spacing w:after="40" w:line="275"/>
        <w:ind w:left="420"/>
      </w:pPr>
      <w:r>
        <w:rPr>
          <w:rFonts w:ascii="Calibri" w:cs="Calibri" w:eastAsia="Calibri" w:hAnsi="Calibri"/>
          <w:color w:val="5F7375"/>
          <w:sz w:val="19"/>
          <w:szCs w:val="19"/>
        </w:rPr>
        <w:t xml:space="preserve">Leg altijd advies en besluit vast; escaleren doe je alleen bij een grens, en blijf daarna werkbaar.</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Mag een adviseur weigeren een advies te geven waarvan hij weet dat het niet wordt overgenomen?</w:t>
      </w:r>
    </w:p>
    <w:p>
      <w:pPr>
        <w:pStyle w:val="ListParagraph"/>
        <w:numPr>
          <w:ilvl w:val="0"/>
          <w:numId w:val="3"/>
        </w:numPr>
        <w:spacing w:after="70" w:line="280"/>
      </w:pPr>
      <w:r>
        <w:rPr>
          <w:rFonts w:ascii="Calibri" w:cs="Calibri" w:eastAsia="Calibri" w:hAnsi="Calibri"/>
          <w:color w:val="0E1A1C"/>
          <w:sz w:val="21"/>
          <w:szCs w:val="21"/>
        </w:rPr>
        <w:t xml:space="preserve">Is prioriteren een analytische of een politieke handeling?</w:t>
      </w:r>
    </w:p>
    <w:p>
      <w:pPr>
        <w:pStyle w:val="ListParagraph"/>
        <w:numPr>
          <w:ilvl w:val="0"/>
          <w:numId w:val="3"/>
        </w:numPr>
        <w:spacing w:after="70" w:line="280"/>
      </w:pPr>
      <w:r>
        <w:rPr>
          <w:rFonts w:ascii="Calibri" w:cs="Calibri" w:eastAsia="Calibri" w:hAnsi="Calibri"/>
          <w:color w:val="0E1A1C"/>
          <w:sz w:val="21"/>
          <w:szCs w:val="21"/>
        </w:rPr>
        <w:t xml:space="preserve">Hoort een analist neutraal te zijn, of mag hij een voorkeur hebben?</w:t>
      </w:r>
    </w:p>
    <w:p>
      <w:pPr>
        <w:pStyle w:val="ListParagraph"/>
        <w:numPr>
          <w:ilvl w:val="0"/>
          <w:numId w:val="3"/>
        </w:numPr>
        <w:spacing w:after="70" w:line="280"/>
      </w:pPr>
      <w:r>
        <w:rPr>
          <w:rFonts w:ascii="Calibri" w:cs="Calibri" w:eastAsia="Calibri" w:hAnsi="Calibri"/>
          <w:color w:val="0E1A1C"/>
          <w:sz w:val="21"/>
          <w:szCs w:val="21"/>
        </w:rPr>
        <w:t xml:space="preserve">Wanneer is escaleren over het hoofd van je opdrachtgever heen gerechtvaardigd?</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5 het advies terugbrengen tot drie zinnen voor een mondelinge overdracht in de lift.</w:t>
      </w:r>
    </w:p>
    <w:p>
      <w:pPr>
        <w:pStyle w:val="ListParagraph"/>
        <w:numPr>
          <w:ilvl w:val="0"/>
          <w:numId w:val="2"/>
        </w:numPr>
        <w:spacing w:after="70" w:line="280"/>
      </w:pPr>
      <w:r>
        <w:rPr>
          <w:rFonts w:ascii="Calibri" w:cs="Calibri" w:eastAsia="Calibri" w:hAnsi="Calibri"/>
          <w:color w:val="0E1A1C"/>
          <w:sz w:val="21"/>
          <w:szCs w:val="21"/>
        </w:rPr>
        <w:t xml:space="preserve">Vraag om bij opdracht 4 een vijfde initiatief toe te voegen dat om politieke redenen doorgaat, en de gevolgen te beschrijven.</w:t>
      </w:r>
    </w:p>
    <w:p>
      <w:pPr>
        <w:pStyle w:val="ListParagraph"/>
        <w:numPr>
          <w:ilvl w:val="0"/>
          <w:numId w:val="2"/>
        </w:numPr>
        <w:spacing w:after="70" w:line="280"/>
      </w:pPr>
      <w:r>
        <w:rPr>
          <w:rFonts w:ascii="Calibri" w:cs="Calibri" w:eastAsia="Calibri" w:hAnsi="Calibri"/>
          <w:color w:val="0E1A1C"/>
          <w:sz w:val="21"/>
          <w:szCs w:val="21"/>
        </w:rPr>
        <w:t xml:space="preserve">Laat opdracht 6 nogmaals doen met een leverancier die alle antwoorden goed heeft — en beoordeel wat je dan nog kunt onderscheiden.</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1 tot vijf stakeholders.</w:t>
      </w:r>
    </w:p>
    <w:p>
      <w:pPr>
        <w:pStyle w:val="ListParagraph"/>
        <w:numPr>
          <w:ilvl w:val="0"/>
          <w:numId w:val="2"/>
        </w:numPr>
        <w:spacing w:after="70" w:line="280"/>
      </w:pPr>
      <w:r>
        <w:rPr>
          <w:rFonts w:ascii="Calibri" w:cs="Calibri" w:eastAsia="Calibri" w:hAnsi="Calibri"/>
          <w:color w:val="0E1A1C"/>
          <w:sz w:val="21"/>
          <w:szCs w:val="21"/>
        </w:rPr>
        <w:t xml:space="preserve">Geef bij opdracht 2 de winnende grootheid voor; het rekenwerk is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3 in tweetallen faciliteren in plaats van alleen.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BABOK kennen voor de CBDA?"</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Niet verplicht, maar wie BABOK kent, herkent de terminologie rond requirements en stakeholders direct.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lang mag een advies zijn?"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pagina. Alles wat langer is, wordt door minder mensen gelezen en levert meer discussie op.</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de opdrachtgever geen beslisregel wil vastleggen?"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is zelf informatie. Leg vast dat je erom hebt gevraagd en ga door — maar reken op discussie achteraf.</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een leverancier confronteren met een vertrokken klant?"</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en het is normaal in een professioneel selectietraject. Een leverancier die daar niet tegen kan, is zelf een signaal.</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en niet erkend door IIBA;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19 — Van analyse naar advies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analyse naar advies — Docentenhandleiding</dc:title>
  <dc:creator>Ductus B.V.</dc:creator>
  <dc:description>Cursusmateriaal datamanagement, data-analyse en data governance</dc:description>
  <cp:lastModifiedBy>Un-named</cp:lastModifiedBy>
  <cp:revision>1</cp:revision>
  <dcterms:created xsi:type="dcterms:W3CDTF">2026-08-05T12:05:56.725Z</dcterms:created>
  <dcterms:modified xsi:type="dcterms:W3CDTF">2026-08-05T12:05:56.725Z</dcterms:modified>
</cp:coreProperties>
</file>

<file path=docProps/custom.xml><?xml version="1.0" encoding="utf-8"?>
<Properties xmlns="http://schemas.openxmlformats.org/officeDocument/2006/custom-properties" xmlns:vt="http://schemas.openxmlformats.org/officeDocument/2006/docPropsVTypes"/>
</file>