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19</w:t>
      </w:r>
    </w:p>
    <w:p>
      <w:pPr>
        <w:spacing w:after="120"/>
      </w:pPr>
      <w:r>
        <w:rPr>
          <w:rFonts w:ascii="Cambria" w:cs="Cambria" w:eastAsia="Cambria" w:hAnsi="Cambria"/>
          <w:b/>
          <w:bCs/>
          <w:color w:val="0E1A1C"/>
          <w:sz w:val="56"/>
          <w:szCs w:val="56"/>
        </w:rPr>
        <w:t xml:space="preserve">Van analyse naar advies</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8 uur (5 uur klassikaal, 3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IIBA-CBDA, domeinen 5 en 6</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De meeste analyses die niet tot een besluit leiden, zijn inhoudelijk in orde. Ze stranden op iets anders: op een business case die de verkeerde grootheid telt, op een prioritering die geen keuze maakt, op een stakeholder die niet is meegenomen, of op een advies dat vijf pagina’s lang is terwijl er één nodig was.</w:t>
      </w:r>
    </w:p>
    <w:p>
      <w:pPr>
        <w:spacing w:after="140" w:line="288"/>
      </w:pPr>
      <w:r>
        <w:rPr>
          <w:rFonts w:ascii="Calibri" w:cs="Calibri" w:eastAsia="Calibri" w:hAnsi="Calibri"/>
          <w:color w:val="0E1A1C"/>
          <w:sz w:val="21"/>
          <w:szCs w:val="21"/>
        </w:rPr>
        <w:t xml:space="preserve">Dit deel gaat over dat traject. Het is het minst technische deel van niveau 2 en in de praktijk het meest bepalend voor of je werk effect heeft. Dat maakt het ook het deel waarin oefenen het meest oplevert, want het gaat over gedrag in gesprekken en niet over kennis.</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bouwt een business case die telt wat de organisatie daadwerkelijk waardeert.</w:t>
      </w:r>
    </w:p>
    <w:p>
      <w:pPr>
        <w:pStyle w:val="ListParagraph"/>
        <w:numPr>
          <w:ilvl w:val="0"/>
          <w:numId w:val="2"/>
        </w:numPr>
        <w:spacing w:after="70" w:line="280"/>
      </w:pPr>
      <w:r>
        <w:rPr>
          <w:rFonts w:ascii="Calibri" w:cs="Calibri" w:eastAsia="Calibri" w:hAnsi="Calibri"/>
          <w:color w:val="0E1A1C"/>
          <w:sz w:val="21"/>
          <w:szCs w:val="21"/>
        </w:rPr>
        <w:t xml:space="preserve">Je stelt requirements op voor een data-oplossing die niet in techniek vervallen.</w:t>
      </w:r>
    </w:p>
    <w:p>
      <w:pPr>
        <w:pStyle w:val="ListParagraph"/>
        <w:numPr>
          <w:ilvl w:val="0"/>
          <w:numId w:val="2"/>
        </w:numPr>
        <w:spacing w:after="70" w:line="280"/>
      </w:pPr>
      <w:r>
        <w:rPr>
          <w:rFonts w:ascii="Calibri" w:cs="Calibri" w:eastAsia="Calibri" w:hAnsi="Calibri"/>
          <w:color w:val="0E1A1C"/>
          <w:sz w:val="21"/>
          <w:szCs w:val="21"/>
        </w:rPr>
        <w:t xml:space="preserve">Je prioriteert onder schaarste met een methode die een keuze afdwingt.</w:t>
      </w:r>
    </w:p>
    <w:p>
      <w:pPr>
        <w:pStyle w:val="ListParagraph"/>
        <w:numPr>
          <w:ilvl w:val="0"/>
          <w:numId w:val="2"/>
        </w:numPr>
        <w:spacing w:after="70" w:line="280"/>
      </w:pPr>
      <w:r>
        <w:rPr>
          <w:rFonts w:ascii="Calibri" w:cs="Calibri" w:eastAsia="Calibri" w:hAnsi="Calibri"/>
          <w:color w:val="0E1A1C"/>
          <w:sz w:val="21"/>
          <w:szCs w:val="21"/>
        </w:rPr>
        <w:t xml:space="preserve">Je brengt stakeholders in kaart en herkent de vorm van hun weerstand.</w:t>
      </w:r>
    </w:p>
    <w:p>
      <w:pPr>
        <w:pStyle w:val="ListParagraph"/>
        <w:numPr>
          <w:ilvl w:val="0"/>
          <w:numId w:val="2"/>
        </w:numPr>
        <w:spacing w:after="70" w:line="280"/>
      </w:pPr>
      <w:r>
        <w:rPr>
          <w:rFonts w:ascii="Calibri" w:cs="Calibri" w:eastAsia="Calibri" w:hAnsi="Calibri"/>
          <w:color w:val="0E1A1C"/>
          <w:sz w:val="21"/>
          <w:szCs w:val="21"/>
        </w:rPr>
        <w:t xml:space="preserve">Je faciliteert een workshop die tot een besluit leidt in plaats van tot een inventarisatie.</w:t>
      </w:r>
    </w:p>
    <w:p>
      <w:pPr>
        <w:pStyle w:val="ListParagraph"/>
        <w:numPr>
          <w:ilvl w:val="0"/>
          <w:numId w:val="2"/>
        </w:numPr>
        <w:spacing w:after="70" w:line="280"/>
      </w:pPr>
      <w:r>
        <w:rPr>
          <w:rFonts w:ascii="Calibri" w:cs="Calibri" w:eastAsia="Calibri" w:hAnsi="Calibri"/>
          <w:color w:val="0E1A1C"/>
          <w:sz w:val="21"/>
          <w:szCs w:val="21"/>
        </w:rPr>
        <w:t xml:space="preserve">Je schrijft een advies van één pagina waarin de vraag om een besluit expliciet staat.</w:t>
      </w:r>
    </w:p>
    <w:p>
      <w:pPr>
        <w:pStyle w:val="ListParagraph"/>
        <w:numPr>
          <w:ilvl w:val="0"/>
          <w:numId w:val="2"/>
        </w:numPr>
        <w:spacing w:after="70" w:line="280"/>
      </w:pPr>
      <w:r>
        <w:rPr>
          <w:rFonts w:ascii="Calibri" w:cs="Calibri" w:eastAsia="Calibri" w:hAnsi="Calibri"/>
          <w:color w:val="0E1A1C"/>
          <w:sz w:val="21"/>
          <w:szCs w:val="21"/>
        </w:rPr>
        <w:t xml:space="preserve">Je voert een leveranciersselectie waarin de demo de keuze niet stuurt.</w:t>
      </w:r>
    </w:p>
    <w:p>
      <w:r>
        <w:br w:type="page"/>
      </w:r>
    </w:p>
    <w:p>
      <w:pPr>
        <w:pStyle w:val="Heading1"/>
        <w:spacing w:after="200" w:before="420"/>
      </w:pPr>
      <w:r>
        <w:rPr>
          <w:rFonts w:ascii="Cambria" w:cs="Cambria" w:eastAsia="Cambria" w:hAnsi="Cambria"/>
          <w:b/>
          <w:bCs/>
          <w:color w:val="1B4A48"/>
          <w:sz w:val="34"/>
          <w:szCs w:val="34"/>
        </w:rPr>
        <w:t xml:space="preserve">2. De business case</w:t>
      </w:r>
    </w:p>
    <w:p>
      <w:pPr>
        <w:spacing w:after="140" w:line="288"/>
      </w:pPr>
      <w:r>
        <w:rPr>
          <w:rFonts w:ascii="Calibri" w:cs="Calibri" w:eastAsia="Calibri" w:hAnsi="Calibri"/>
          <w:color w:val="0E1A1C"/>
          <w:sz w:val="21"/>
          <w:szCs w:val="21"/>
        </w:rPr>
        <w:t xml:space="preserve">De meest gemaakte fout is efficiëntie tellen terwijl de organisatie risico waardeert, of andersom. Begin daarom bij de vraag welke grootheid bij deze opdrachtgever het besluit bepaalt.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3400"/>
        <w:gridCol w:w="37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Grootheid</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 hij wint</w:t>
            </w:r>
          </w:p>
        </w:tc>
        <w:tc>
          <w:tcPr>
            <w:tcW w:type="dxa" w:w="37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Hoe je hem onderbouwt</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Bespaarde uren</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een organisatie onder kostendruk, met een aantoonbaar herinzetbare capaciteit</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Echte uren maal het eigen tarief van de opdrachtgever</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Vermeden risico</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toezicht, aansprakelijkheid of reputatie</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Kans maal impact, met de aanname zichtbaar</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Gemiste waarde</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een organisatie in groei of transitie</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er niet kan zolang dit niet is opgelost</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Wettelijke noodzaak</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een openstaande bevinding of een harde termijn</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eis zelf, plus de consequentie van niet voldoen</w:t>
            </w:r>
          </w:p>
        </w:tc>
      </w:tr>
    </w:tbl>
    <w:p>
      <w:pPr>
        <w:spacing w:after="140"/>
      </w:pPr>
      <w:r>
        <w:t xml:space="preserve"/>
      </w:r>
    </w:p>
    <w:p>
      <w:pPr>
        <w:spacing w:after="140" w:line="288"/>
      </w:pPr>
      <w:r>
        <w:rPr>
          <w:rFonts w:ascii="Calibri" w:cs="Calibri" w:eastAsia="Calibri" w:hAnsi="Calibri"/>
          <w:color w:val="0E1A1C"/>
          <w:sz w:val="21"/>
          <w:szCs w:val="21"/>
        </w:rPr>
        <w:t xml:space="preserve">Bij Meridiaan wint de vierde en daarna de tweede. Een business case voor datagovernance die uitsluitend op bespaarde uren rust, komt daar niet door de stuurgroep — niet omdat de berekening fout is, maar omdat hij de verkeerde vraag beantwoordt.</w:t>
      </w:r>
    </w:p>
    <w:p>
      <w:pPr>
        <w:pStyle w:val="Heading3"/>
        <w:spacing w:after="100" w:before="240"/>
      </w:pPr>
      <w:r>
        <w:rPr>
          <w:rFonts w:ascii="Calibri" w:cs="Calibri" w:eastAsia="Calibri" w:hAnsi="Calibri"/>
          <w:b/>
          <w:bCs/>
          <w:color w:val="3F7D74"/>
          <w:sz w:val="22"/>
          <w:szCs w:val="22"/>
        </w:rPr>
        <w:t xml:space="preserve">Vier regels voor een geloofwaardige berekening</w:t>
      </w:r>
    </w:p>
    <w:p>
      <w:pPr>
        <w:pStyle w:val="ListParagraph"/>
        <w:numPr>
          <w:ilvl w:val="0"/>
          <w:numId w:val="3"/>
        </w:numPr>
        <w:spacing w:after="70" w:line="280"/>
      </w:pPr>
      <w:r>
        <w:rPr>
          <w:rFonts w:ascii="Calibri" w:cs="Calibri" w:eastAsia="Calibri" w:hAnsi="Calibri"/>
          <w:color w:val="0E1A1C"/>
          <w:sz w:val="21"/>
          <w:szCs w:val="21"/>
        </w:rPr>
        <w:t xml:space="preserve">Reken klein en verdedigbaar. Eén regel met echte uren verslaat een schatting van tonnen.</w:t>
      </w:r>
    </w:p>
    <w:p>
      <w:pPr>
        <w:pStyle w:val="ListParagraph"/>
        <w:numPr>
          <w:ilvl w:val="0"/>
          <w:numId w:val="3"/>
        </w:numPr>
        <w:spacing w:after="70" w:line="280"/>
      </w:pPr>
      <w:r>
        <w:rPr>
          <w:rFonts w:ascii="Calibri" w:cs="Calibri" w:eastAsia="Calibri" w:hAnsi="Calibri"/>
          <w:color w:val="0E1A1C"/>
          <w:sz w:val="21"/>
          <w:szCs w:val="21"/>
        </w:rPr>
        <w:t xml:space="preserve">Maak elke aanname zichtbaar, apart van het eindbedrag. Een verborgen aanname die sneuvelt, kost je de hele case.</w:t>
      </w:r>
    </w:p>
    <w:p>
      <w:pPr>
        <w:pStyle w:val="ListParagraph"/>
        <w:numPr>
          <w:ilvl w:val="0"/>
          <w:numId w:val="3"/>
        </w:numPr>
        <w:spacing w:after="70" w:line="280"/>
      </w:pPr>
      <w:r>
        <w:rPr>
          <w:rFonts w:ascii="Calibri" w:cs="Calibri" w:eastAsia="Calibri" w:hAnsi="Calibri"/>
          <w:color w:val="0E1A1C"/>
          <w:sz w:val="21"/>
          <w:szCs w:val="21"/>
        </w:rPr>
        <w:t xml:space="preserve">Zet de kosten van de maatregel ernaast, inclusief het beheer erna. Beheerlast wordt structureel vergeten.</w:t>
      </w:r>
    </w:p>
    <w:p>
      <w:pPr>
        <w:pStyle w:val="ListParagraph"/>
        <w:numPr>
          <w:ilvl w:val="0"/>
          <w:numId w:val="3"/>
        </w:numPr>
        <w:spacing w:after="70" w:line="280"/>
      </w:pPr>
      <w:r>
        <w:rPr>
          <w:rFonts w:ascii="Calibri" w:cs="Calibri" w:eastAsia="Calibri" w:hAnsi="Calibri"/>
          <w:color w:val="0E1A1C"/>
          <w:sz w:val="21"/>
          <w:szCs w:val="21"/>
        </w:rPr>
        <w:t xml:space="preserve">Wees eerlijk over de terugverdientijd, ook als die vier jaar is. Een te mooie case wordt niet geloofd en een geloofwaardige lange case wel gefinancierd — mits het risico-argument erbij staat.</w:t>
      </w:r>
    </w:p>
    <w:p>
      <w:pPr>
        <w:pStyle w:val="Heading1"/>
        <w:spacing w:after="200" w:before="420"/>
      </w:pPr>
      <w:r>
        <w:rPr>
          <w:rFonts w:ascii="Cambria" w:cs="Cambria" w:eastAsia="Cambria" w:hAnsi="Cambria"/>
          <w:b/>
          <w:bCs/>
          <w:color w:val="1B4A48"/>
          <w:sz w:val="34"/>
          <w:szCs w:val="34"/>
        </w:rPr>
        <w:t xml:space="preserve">3. Requirements voor data-oplossingen</w:t>
      </w:r>
    </w:p>
    <w:p>
      <w:pPr>
        <w:spacing w:after="140" w:line="288"/>
      </w:pPr>
      <w:r>
        <w:rPr>
          <w:rFonts w:ascii="Calibri" w:cs="Calibri" w:eastAsia="Calibri" w:hAnsi="Calibri"/>
          <w:color w:val="0E1A1C"/>
          <w:sz w:val="21"/>
          <w:szCs w:val="21"/>
        </w:rPr>
        <w:t xml:space="preserve">Requirements voor een dataproduct verschillen van functionele eisen aan software. Vijf categorieën, waarvan de laatste twee doorgaans ontbreken.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3600"/>
        <w:gridCol w:w="35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Categorie</w:t>
            </w:r>
          </w:p>
        </w:tc>
        <w:tc>
          <w:tcPr>
            <w:tcW w:type="dxa" w:w="3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Voorbeeld</w:t>
            </w:r>
          </w:p>
        </w:tc>
        <w:tc>
          <w:tcPr>
            <w:tcW w:type="dxa" w:w="3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Wie levert hem</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Informatiebehoefte</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vraag moet beantwoord kunnen worden</w:t>
            </w:r>
          </w:p>
        </w:tc>
        <w:tc>
          <w:tcPr>
            <w:tcW w:type="dxa" w:w="3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besluitnemer</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Semantiek</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definitie geldt, en wie stelt hem vast</w:t>
            </w:r>
          </w:p>
        </w:tc>
        <w:tc>
          <w:tcPr>
            <w:tcW w:type="dxa" w:w="3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owner, via het begrippenkader</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Kwaliteit</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drempel per kritiek element</w:t>
            </w:r>
          </w:p>
        </w:tc>
        <w:tc>
          <w:tcPr>
            <w:tcW w:type="dxa" w:w="3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owner en steward, uit deel 15</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Actualiteit</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vers moet het zijn, en wat is de maximale vertraging</w:t>
            </w:r>
          </w:p>
        </w:tc>
        <w:tc>
          <w:tcPr>
            <w:tcW w:type="dxa" w:w="3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besluitnemer, afgeleid van het besluitritme</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Aantoonbaarheid</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herkomst moet te tonen zijn, en aan wie</w:t>
            </w:r>
          </w:p>
        </w:tc>
        <w:tc>
          <w:tcPr>
            <w:tcW w:type="dxa" w:w="3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Compliance en de toezichtsvraag</w:t>
            </w:r>
          </w:p>
        </w:tc>
      </w:tr>
    </w:tbl>
    <w:p>
      <w:pPr>
        <w:spacing w:after="140"/>
      </w:pPr>
      <w:r>
        <w:t xml:space="preserve"/>
      </w:r>
    </w:p>
    <w:p>
      <w:pPr>
        <w:spacing w:after="140" w:line="288"/>
      </w:pPr>
      <w:r>
        <w:rPr>
          <w:rFonts w:ascii="Calibri" w:cs="Calibri" w:eastAsia="Calibri" w:hAnsi="Calibri"/>
          <w:color w:val="0E1A1C"/>
          <w:sz w:val="21"/>
          <w:szCs w:val="21"/>
        </w:rPr>
        <w:t xml:space="preserve">De actualiteitseis verdient bijzondere aandacht, omdat hij bijna altijd te hoog wordt gesteld. Vraag door: als het besluit maandelijks valt, waarom moet de data dan dagelijks vers zijn? De eerlijke uitkomst is vaak dat men nooit heeft nagedacht over het besluitritme.</w:t>
      </w:r>
    </w:p>
    <w:p>
      <w:pPr>
        <w:pStyle w:val="Heading1"/>
        <w:spacing w:after="200" w:before="420"/>
      </w:pPr>
      <w:r>
        <w:rPr>
          <w:rFonts w:ascii="Cambria" w:cs="Cambria" w:eastAsia="Cambria" w:hAnsi="Cambria"/>
          <w:b/>
          <w:bCs/>
          <w:color w:val="1B4A48"/>
          <w:sz w:val="34"/>
          <w:szCs w:val="34"/>
        </w:rPr>
        <w:t xml:space="preserve">4. Prioriteren onder schaarste</w:t>
      </w:r>
    </w:p>
    <w:p>
      <w:pPr>
        <w:spacing w:after="140" w:line="288"/>
      </w:pPr>
      <w:r>
        <w:rPr>
          <w:rFonts w:ascii="Calibri" w:cs="Calibri" w:eastAsia="Calibri" w:hAnsi="Calibri"/>
          <w:color w:val="0E1A1C"/>
          <w:sz w:val="21"/>
          <w:szCs w:val="21"/>
        </w:rPr>
        <w:t xml:space="preserve">Een prioritering die niet dwingt tot afvallen, is geen prioritering. Drie methoden werken in de praktijk; ze verschillen in hoe hard ze dwingen.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2800"/>
        <w:gridCol w:w="1900"/>
        <w:gridCol w:w="24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Methode</w:t>
            </w:r>
          </w:p>
        </w:tc>
        <w:tc>
          <w:tcPr>
            <w:tcW w:type="dxa" w:w="2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Hoe het werkt</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Dwingt tot keuze</w:t>
            </w:r>
          </w:p>
        </w:tc>
        <w:tc>
          <w:tcPr>
            <w:tcW w:type="dxa" w:w="2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Valkuil</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MoSCoW</w:t>
            </w:r>
          </w:p>
        </w:tc>
        <w:tc>
          <w:tcPr>
            <w:tcW w:type="dxa" w:w="2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Must, Should, Could, Won’t</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Matig — alles wordt Must</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Alleen bruikbaar met een limiet op het aantal Musts</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Waarde tegen inspanning</w:t>
            </w:r>
          </w:p>
        </w:tc>
        <w:tc>
          <w:tcPr>
            <w:tcW w:type="dxa" w:w="2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 assen, vier kwadranten</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Redelijk</w:t>
            </w:r>
          </w:p>
        </w:tc>
        <w:tc>
          <w:tcPr>
            <w:tcW w:type="dxa" w:w="2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Waarde wordt geschat door de vragende partij</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Gedwongen rangorde</w:t>
            </w:r>
          </w:p>
        </w:tc>
        <w:tc>
          <w:tcPr>
            <w:tcW w:type="dxa" w:w="2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Alles op één lijst, geen gelijke plaatsen</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Sterk</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Ongemakkelijk; vraagt een voorzitter die doorzet</w:t>
            </w:r>
          </w:p>
        </w:tc>
      </w:tr>
    </w:tbl>
    <w:p>
      <w:pPr>
        <w:spacing w:after="140"/>
      </w:pPr>
      <w:r>
        <w:t xml:space="preserve"/>
      </w:r>
    </w:p>
    <w:p>
      <w:pPr>
        <w:spacing w:after="140" w:line="288"/>
      </w:pPr>
      <w:r>
        <w:rPr>
          <w:rFonts w:ascii="Calibri" w:cs="Calibri" w:eastAsia="Calibri" w:hAnsi="Calibri"/>
          <w:color w:val="0E1A1C"/>
          <w:sz w:val="21"/>
          <w:szCs w:val="21"/>
        </w:rPr>
        <w:t xml:space="preserve">De gedwongen rangorde is de enige die betrouwbaar werkt wanneer meerdere afdelingen om capaciteit vragen. Hij is ook de enige die conflict oplevert — en dat conflict is het punt: het is beter dat het in de workshop plaatsvindt dan drie maanden later bij de oplevering.</w:t>
      </w:r>
    </w:p>
    <w:p>
      <w:pPr>
        <w:pStyle w:val="Heading3"/>
        <w:spacing w:after="100" w:before="240"/>
      </w:pPr>
      <w:r>
        <w:rPr>
          <w:rFonts w:ascii="Calibri" w:cs="Calibri" w:eastAsia="Calibri" w:hAnsi="Calibri"/>
          <w:b/>
          <w:bCs/>
          <w:color w:val="3F7D74"/>
          <w:sz w:val="22"/>
          <w:szCs w:val="22"/>
        </w:rPr>
        <w:t xml:space="preserve">Afhankelijkheden</w:t>
      </w:r>
    </w:p>
    <w:p>
      <w:pPr>
        <w:spacing w:after="140" w:line="288"/>
      </w:pPr>
      <w:r>
        <w:rPr>
          <w:rFonts w:ascii="Calibri" w:cs="Calibri" w:eastAsia="Calibri" w:hAnsi="Calibri"/>
          <w:color w:val="0E1A1C"/>
          <w:sz w:val="21"/>
          <w:szCs w:val="21"/>
        </w:rPr>
        <w:t xml:space="preserve">Prioriteer nooit zonder de afhankelijkheden in beeld. Bij Meridiaan geldt dat eigenaarschap beleggen vóór alles komt: zonder owner kan geen definitie worden vastgesteld, zonder definitie geen kwaliteitsnorm, zonder norm geen zinvolle meting. Wie de meting bovenaan zet omdat die het zichtbaarst is, bouwt op zand.</w:t>
      </w:r>
    </w:p>
    <w:p>
      <w:r>
        <w:br w:type="page"/>
      </w:r>
    </w:p>
    <w:p>
      <w:pPr>
        <w:pStyle w:val="Heading1"/>
        <w:spacing w:after="200" w:before="420"/>
      </w:pPr>
      <w:r>
        <w:rPr>
          <w:rFonts w:ascii="Cambria" w:cs="Cambria" w:eastAsia="Cambria" w:hAnsi="Cambria"/>
          <w:b/>
          <w:bCs/>
          <w:color w:val="1B4A48"/>
          <w:sz w:val="34"/>
          <w:szCs w:val="34"/>
        </w:rPr>
        <w:t xml:space="preserve">5. Stakeholders</w:t>
      </w:r>
    </w:p>
    <w:p>
      <w:pPr>
        <w:spacing w:after="140" w:line="288"/>
      </w:pPr>
      <w:r>
        <w:rPr>
          <w:rFonts w:ascii="Calibri" w:cs="Calibri" w:eastAsia="Calibri" w:hAnsi="Calibri"/>
          <w:color w:val="0E1A1C"/>
          <w:sz w:val="21"/>
          <w:szCs w:val="21"/>
        </w:rPr>
        <w:t xml:space="preserve">Breng in kaart op invloed en belang, en let vooral op de combinatie hoge invloed met laag belang — dat zijn de mensen die je voorstel kunnen tegenhouden zonder er iets bij te winnen.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200"/>
        <w:gridCol w:w="3400"/>
        <w:gridCol w:w="3420"/>
      </w:tblGrid>
      <w:tr>
        <w:trPr>
          <w:tblHeader/>
        </w:trPr>
        <w:tc>
          <w:tcPr>
            <w:tcW w:type="dxa" w:w="2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Kwadrant</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je doet</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Bij Meridiaan</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Hoge invloed, hoog belang</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Meebouwen; laat ze mede-eigenaar worden van het voorstel</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CFO met de DNB-bevinding</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Hoge invloed, laag belang</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Vroeg betrekken en risico wegnemen; hier zit de kans op blokkade</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directeur Beleggingen, die er niets bij wint</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Lage invloed, hoog belang</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Informeren en betrekken; zij leveren het bewijs</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stewards en de klantcontactafdeling</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Lage invloed, laag belang</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 de hoogte houden, verder niet investeren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Ondersteunende afdelingen</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Drie vormen van weerstand</w:t>
      </w:r>
    </w:p>
    <w:p>
      <w:pPr>
        <w:pStyle w:val="ListParagraph"/>
        <w:numPr>
          <w:ilvl w:val="0"/>
          <w:numId w:val="4"/>
        </w:numPr>
        <w:spacing w:after="70" w:line="280"/>
      </w:pPr>
      <w:r>
        <w:rPr>
          <w:rFonts w:ascii="Calibri" w:cs="Calibri" w:eastAsia="Calibri" w:hAnsi="Calibri"/>
          <w:color w:val="0E1A1C"/>
          <w:sz w:val="21"/>
          <w:szCs w:val="21"/>
        </w:rPr>
        <w:t xml:space="preserve">"Dit hebben wij al." Meestal oprecht en gedeeltelijk waar. Reageer met de vraag wat er dan precies bestaat en vraag om het te zien — dezelfde vraag als bij het assessment in deel 11.</w:t>
      </w:r>
    </w:p>
    <w:p>
      <w:pPr>
        <w:pStyle w:val="ListParagraph"/>
        <w:numPr>
          <w:ilvl w:val="0"/>
          <w:numId w:val="4"/>
        </w:numPr>
        <w:spacing w:after="70" w:line="280"/>
      </w:pPr>
      <w:r>
        <w:rPr>
          <w:rFonts w:ascii="Calibri" w:cs="Calibri" w:eastAsia="Calibri" w:hAnsi="Calibri"/>
          <w:color w:val="0E1A1C"/>
          <w:sz w:val="21"/>
          <w:szCs w:val="21"/>
        </w:rPr>
        <w:t xml:space="preserve">"Dit vertraagt ons." De zorg is echt en gaat over doorlooptijd, niet over het idee. Reageer met een concreet tijdsbeslag en met wat er sneller gaat.</w:t>
      </w:r>
    </w:p>
    <w:p>
      <w:pPr>
        <w:pStyle w:val="ListParagraph"/>
        <w:numPr>
          <w:ilvl w:val="0"/>
          <w:numId w:val="4"/>
        </w:numPr>
        <w:spacing w:after="70" w:line="280"/>
      </w:pPr>
      <w:r>
        <w:rPr>
          <w:rFonts w:ascii="Calibri" w:cs="Calibri" w:eastAsia="Calibri" w:hAnsi="Calibri"/>
          <w:color w:val="0E1A1C"/>
          <w:sz w:val="21"/>
          <w:szCs w:val="21"/>
        </w:rPr>
        <w:t xml:space="preserve">"Hier gaat IT over." Een afschuifreactie die duidt op onduidelijke besluitrechten. Reageer met de matrix uit deel 16, niet met overtuigingskracht.</w:t>
      </w:r>
    </w:p>
    <w:p>
      <w:pPr>
        <w:spacing w:after="140" w:line="288"/>
      </w:pPr>
      <w:r>
        <w:rPr>
          <w:rFonts w:ascii="Calibri" w:cs="Calibri" w:eastAsia="Calibri" w:hAnsi="Calibri"/>
          <w:color w:val="0E1A1C"/>
          <w:sz w:val="21"/>
          <w:szCs w:val="21"/>
        </w:rPr>
        <w:t xml:space="preserve">Alle drie zijn signalen, geen obstakels. Weerstand die niet wordt uitgesproken is het echte probleem: die komt terug op het moment dat het besluit valt.</w:t>
      </w:r>
    </w:p>
    <w:p>
      <w:pPr>
        <w:pStyle w:val="Heading1"/>
        <w:spacing w:after="200" w:before="420"/>
      </w:pPr>
      <w:r>
        <w:rPr>
          <w:rFonts w:ascii="Cambria" w:cs="Cambria" w:eastAsia="Cambria" w:hAnsi="Cambria"/>
          <w:b/>
          <w:bCs/>
          <w:color w:val="1B4A48"/>
          <w:sz w:val="34"/>
          <w:szCs w:val="34"/>
        </w:rPr>
        <w:t xml:space="preserve">6. Workshops faciliteren</w:t>
      </w:r>
    </w:p>
    <w:p>
      <w:pPr>
        <w:spacing w:after="140" w:line="288"/>
      </w:pPr>
      <w:r>
        <w:rPr>
          <w:rFonts w:ascii="Calibri" w:cs="Calibri" w:eastAsia="Calibri" w:hAnsi="Calibri"/>
          <w:color w:val="0E1A1C"/>
          <w:sz w:val="21"/>
          <w:szCs w:val="21"/>
        </w:rPr>
        <w:t xml:space="preserve">Een workshop zonder besluit is een inventarisatie met broodjes. Vijf ontwerpkeuzes bepalen of er iets uitkomt.</w:t>
      </w:r>
    </w:p>
    <w:p>
      <w:pPr>
        <w:pStyle w:val="ListParagraph"/>
        <w:numPr>
          <w:ilvl w:val="0"/>
          <w:numId w:val="5"/>
        </w:numPr>
        <w:spacing w:after="70" w:line="280"/>
      </w:pPr>
      <w:r>
        <w:rPr>
          <w:rFonts w:ascii="Calibri" w:cs="Calibri" w:eastAsia="Calibri" w:hAnsi="Calibri"/>
          <w:color w:val="0E1A1C"/>
          <w:sz w:val="21"/>
          <w:szCs w:val="21"/>
        </w:rPr>
        <w:t xml:space="preserve">Formuleer de vraag die aan het eind beantwoord moet zijn, en zet hem zichtbaar in de zaal.</w:t>
      </w:r>
    </w:p>
    <w:p>
      <w:pPr>
        <w:pStyle w:val="ListParagraph"/>
        <w:numPr>
          <w:ilvl w:val="0"/>
          <w:numId w:val="5"/>
        </w:numPr>
        <w:spacing w:after="70" w:line="280"/>
      </w:pPr>
      <w:r>
        <w:rPr>
          <w:rFonts w:ascii="Calibri" w:cs="Calibri" w:eastAsia="Calibri" w:hAnsi="Calibri"/>
          <w:color w:val="0E1A1C"/>
          <w:sz w:val="21"/>
          <w:szCs w:val="21"/>
        </w:rPr>
        <w:t xml:space="preserve">Nodig uit op besluitbevoegdheid, niet op betrokkenheid. Wie niet mag beslissen, hoort erbij als informant en niet als deelnemer aan de keuze.</w:t>
      </w:r>
    </w:p>
    <w:p>
      <w:pPr>
        <w:pStyle w:val="ListParagraph"/>
        <w:numPr>
          <w:ilvl w:val="0"/>
          <w:numId w:val="5"/>
        </w:numPr>
        <w:spacing w:after="70" w:line="280"/>
      </w:pPr>
      <w:r>
        <w:rPr>
          <w:rFonts w:ascii="Calibri" w:cs="Calibri" w:eastAsia="Calibri" w:hAnsi="Calibri"/>
          <w:color w:val="0E1A1C"/>
          <w:sz w:val="21"/>
          <w:szCs w:val="21"/>
        </w:rPr>
        <w:t xml:space="preserve">Laat mensen eerst individueel opschrijven voordat ze praten. Anders bepaalt de eerste spreker de uitkomst.</w:t>
      </w:r>
    </w:p>
    <w:p>
      <w:pPr>
        <w:pStyle w:val="ListParagraph"/>
        <w:numPr>
          <w:ilvl w:val="0"/>
          <w:numId w:val="5"/>
        </w:numPr>
        <w:spacing w:after="70" w:line="280"/>
      </w:pPr>
      <w:r>
        <w:rPr>
          <w:rFonts w:ascii="Calibri" w:cs="Calibri" w:eastAsia="Calibri" w:hAnsi="Calibri"/>
          <w:color w:val="0E1A1C"/>
          <w:sz w:val="21"/>
          <w:szCs w:val="21"/>
        </w:rPr>
        <w:t xml:space="preserve">Werk toe naar één besluit, niet naar consensus over alles. Consensus over vijf onderwerpen kost vier vergaderingen.</w:t>
      </w:r>
    </w:p>
    <w:p>
      <w:pPr>
        <w:pStyle w:val="ListParagraph"/>
        <w:numPr>
          <w:ilvl w:val="0"/>
          <w:numId w:val="5"/>
        </w:numPr>
        <w:spacing w:after="70" w:line="280"/>
      </w:pPr>
      <w:r>
        <w:rPr>
          <w:rFonts w:ascii="Calibri" w:cs="Calibri" w:eastAsia="Calibri" w:hAnsi="Calibri"/>
          <w:color w:val="0E1A1C"/>
          <w:sz w:val="21"/>
          <w:szCs w:val="21"/>
        </w:rPr>
        <w:t xml:space="preserve">Sluit af met wie wat doet, vóór welke datum. Zonder dat is er geen besluit maar een gevoel.</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valkuil van de facilitator</w:t>
            </w:r>
          </w:p>
          <w:p>
            <w:pPr>
              <w:spacing w:after="60" w:line="280"/>
            </w:pPr>
            <w:r>
              <w:rPr>
                <w:rFonts w:ascii="Calibri" w:cs="Calibri" w:eastAsia="Calibri" w:hAnsi="Calibri"/>
                <w:color w:val="0E1A1C"/>
                <w:sz w:val="20"/>
                <w:szCs w:val="20"/>
              </w:rPr>
              <w:t xml:space="preserve">Wie zelf het inhoudelijke antwoord al weet, faciliteert niet meer maar stuurt. Dat is soms nodig en dan hoort het benoemd te worden: "ik heb hier een opvatting over, ik zeg hem aan het eind." Wie stuurt zonder dat te zeggen, verliest het vertrouwen van de zaal zodra iemand het doorheeft.</w:t>
            </w:r>
          </w:p>
        </w:tc>
      </w:tr>
    </w:tbl>
    <w:p>
      <w:pPr>
        <w:pStyle w:val="Heading1"/>
        <w:spacing w:after="200" w:before="420"/>
      </w:pPr>
      <w:r>
        <w:rPr>
          <w:rFonts w:ascii="Cambria" w:cs="Cambria" w:eastAsia="Cambria" w:hAnsi="Cambria"/>
          <w:b/>
          <w:bCs/>
          <w:color w:val="1B4A48"/>
          <w:sz w:val="34"/>
          <w:szCs w:val="34"/>
        </w:rPr>
        <w:t xml:space="preserve">7. Het advies van één pagina</w:t>
      </w:r>
    </w:p>
    <w:p>
      <w:pPr>
        <w:spacing w:after="140" w:line="288"/>
      </w:pPr>
      <w:r>
        <w:rPr>
          <w:rFonts w:ascii="Calibri" w:cs="Calibri" w:eastAsia="Calibri" w:hAnsi="Calibri"/>
          <w:color w:val="0E1A1C"/>
          <w:sz w:val="21"/>
          <w:szCs w:val="21"/>
        </w:rPr>
        <w:t xml:space="preserve">Eén pagina, vijf blokken. Alles wat langer is, wordt gelezen door minder mensen en levert meer discussie op.</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5200"/>
        <w:gridCol w:w="21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Blok</w:t>
            </w:r>
          </w:p>
        </w:tc>
        <w:tc>
          <w:tcPr>
            <w:tcW w:type="dxa" w:w="5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Inhoud</w:t>
            </w:r>
          </w:p>
        </w:tc>
        <w:tc>
          <w:tcPr>
            <w:tcW w:type="dxa" w:w="21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Omvang</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Situatie</w:t>
            </w:r>
          </w:p>
        </w:tc>
        <w:tc>
          <w:tcPr>
            <w:tcW w:type="dxa" w:w="5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 staan we, in feiten waar niemand het over oneens is</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 zinnen</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Complicatie</w:t>
            </w:r>
          </w:p>
        </w:tc>
        <w:tc>
          <w:tcPr>
            <w:tcW w:type="dxa" w:w="5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blijkt er niet te kloppen of te veranderen</w:t>
            </w:r>
          </w:p>
        </w:tc>
        <w:tc>
          <w:tcPr>
            <w:tcW w:type="dxa" w:w="2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 tot drie zinnen</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Advies</w:t>
            </w:r>
          </w:p>
        </w:tc>
        <w:tc>
          <w:tcPr>
            <w:tcW w:type="dxa" w:w="5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je voorstelt, in één zin waar iemand het mee oneens kan zijn</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Eén zin, dikgedrukt</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Onderbouwing</w:t>
            </w:r>
          </w:p>
        </w:tc>
        <w:tc>
          <w:tcPr>
            <w:tcW w:type="dxa" w:w="5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Drie argumenten, met de belangrijkste eerst</w:t>
            </w:r>
          </w:p>
        </w:tc>
        <w:tc>
          <w:tcPr>
            <w:tcW w:type="dxa" w:w="2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Drie korte alinea’s</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Gevraagd besluit</w:t>
            </w:r>
          </w:p>
        </w:tc>
        <w:tc>
          <w:tcPr>
            <w:tcW w:type="dxa" w:w="5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je vraagt, van wie, vóór wanneer, en wat er gebeurt bij nee</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Vier regels</w:t>
            </w:r>
          </w:p>
        </w:tc>
      </w:tr>
    </w:tbl>
    <w:p>
      <w:pPr>
        <w:spacing w:after="140"/>
      </w:pPr>
      <w:r>
        <w:t xml:space="preserve"/>
      </w:r>
    </w:p>
    <w:p>
      <w:pPr>
        <w:spacing w:after="140" w:line="288"/>
      </w:pPr>
      <w:r>
        <w:rPr>
          <w:rFonts w:ascii="Calibri" w:cs="Calibri" w:eastAsia="Calibri" w:hAnsi="Calibri"/>
          <w:color w:val="0E1A1C"/>
          <w:sz w:val="21"/>
          <w:szCs w:val="21"/>
        </w:rPr>
        <w:t xml:space="preserve">De laatste regel — wat er gebeurt bij nee — wordt vrijwel altijd weggelaten en is het krachtigst. Hij dwingt de lezer tot een keuze in plaats van tot uitstel, en hij laat zien dat je hebt nagedacht over het alternatief.</w:t>
      </w:r>
    </w:p>
    <w:p>
      <w:pPr>
        <w:pStyle w:val="Heading3"/>
        <w:spacing w:after="100" w:before="240"/>
      </w:pPr>
      <w:r>
        <w:rPr>
          <w:rFonts w:ascii="Calibri" w:cs="Calibri" w:eastAsia="Calibri" w:hAnsi="Calibri"/>
          <w:b/>
          <w:bCs/>
          <w:color w:val="3F7D74"/>
          <w:sz w:val="22"/>
          <w:szCs w:val="22"/>
        </w:rPr>
        <w:t xml:space="preserve">Wat er níét in staat</w:t>
      </w:r>
    </w:p>
    <w:p>
      <w:pPr>
        <w:pStyle w:val="ListParagraph"/>
        <w:numPr>
          <w:ilvl w:val="0"/>
          <w:numId w:val="4"/>
        </w:numPr>
        <w:spacing w:after="70" w:line="280"/>
      </w:pPr>
      <w:r>
        <w:rPr>
          <w:rFonts w:ascii="Calibri" w:cs="Calibri" w:eastAsia="Calibri" w:hAnsi="Calibri"/>
          <w:color w:val="0E1A1C"/>
          <w:sz w:val="21"/>
          <w:szCs w:val="21"/>
        </w:rPr>
        <w:t xml:space="preserve">De methode. Die hoort in de bijlage; wie hem wil, vraagt erom.</w:t>
      </w:r>
    </w:p>
    <w:p>
      <w:pPr>
        <w:pStyle w:val="ListParagraph"/>
        <w:numPr>
          <w:ilvl w:val="0"/>
          <w:numId w:val="4"/>
        </w:numPr>
        <w:spacing w:after="70" w:line="280"/>
      </w:pPr>
      <w:r>
        <w:rPr>
          <w:rFonts w:ascii="Calibri" w:cs="Calibri" w:eastAsia="Calibri" w:hAnsi="Calibri"/>
          <w:color w:val="0E1A1C"/>
          <w:sz w:val="21"/>
          <w:szCs w:val="21"/>
        </w:rPr>
        <w:t xml:space="preserve">Alle bevindingen. Drie is het maximum, en dat is een keuze die je verantwoordt.</w:t>
      </w:r>
    </w:p>
    <w:p>
      <w:pPr>
        <w:pStyle w:val="ListParagraph"/>
        <w:numPr>
          <w:ilvl w:val="0"/>
          <w:numId w:val="4"/>
        </w:numPr>
        <w:spacing w:after="70" w:line="280"/>
      </w:pPr>
      <w:r>
        <w:rPr>
          <w:rFonts w:ascii="Calibri" w:cs="Calibri" w:eastAsia="Calibri" w:hAnsi="Calibri"/>
          <w:color w:val="0E1A1C"/>
          <w:sz w:val="21"/>
          <w:szCs w:val="21"/>
        </w:rPr>
        <w:t xml:space="preserve">Voorbehouden die het advies ondergraven. Onzekerheid hoort erin — maar als richting, niet als verzekering.</w:t>
      </w:r>
    </w:p>
    <w:p>
      <w:r>
        <w:br w:type="page"/>
      </w:r>
    </w:p>
    <w:p>
      <w:pPr>
        <w:pStyle w:val="Heading1"/>
        <w:spacing w:after="200" w:before="420"/>
      </w:pPr>
      <w:r>
        <w:rPr>
          <w:rFonts w:ascii="Cambria" w:cs="Cambria" w:eastAsia="Cambria" w:hAnsi="Cambria"/>
          <w:b/>
          <w:bCs/>
          <w:color w:val="1B4A48"/>
          <w:sz w:val="34"/>
          <w:szCs w:val="34"/>
        </w:rPr>
        <w:t xml:space="preserve">8. Toolingselectie</w:t>
      </w:r>
    </w:p>
    <w:p>
      <w:pPr>
        <w:spacing w:after="140" w:line="288"/>
      </w:pPr>
      <w:r>
        <w:rPr>
          <w:rFonts w:ascii="Calibri" w:cs="Calibri" w:eastAsia="Calibri" w:hAnsi="Calibri"/>
          <w:color w:val="0E1A1C"/>
          <w:sz w:val="21"/>
          <w:szCs w:val="21"/>
        </w:rPr>
        <w:t xml:space="preserve">De patronen uit deel 13 gelden breder. Vier regels voorkomen dat de selectie door de demo wordt gestuurd.</w:t>
      </w:r>
    </w:p>
    <w:p>
      <w:pPr>
        <w:pStyle w:val="ListParagraph"/>
        <w:numPr>
          <w:ilvl w:val="0"/>
          <w:numId w:val="6"/>
        </w:numPr>
        <w:spacing w:after="70" w:line="280"/>
      </w:pPr>
      <w:r>
        <w:rPr>
          <w:rFonts w:ascii="Calibri" w:cs="Calibri" w:eastAsia="Calibri" w:hAnsi="Calibri"/>
          <w:color w:val="0E1A1C"/>
          <w:sz w:val="21"/>
          <w:szCs w:val="21"/>
        </w:rPr>
        <w:t xml:space="preserve">Stel de criteria vast vóór de eerste demo, met wegingen, en laat ze vaststellen door wie het besluit neemt.</w:t>
      </w:r>
    </w:p>
    <w:p>
      <w:pPr>
        <w:pStyle w:val="ListParagraph"/>
        <w:numPr>
          <w:ilvl w:val="0"/>
          <w:numId w:val="6"/>
        </w:numPr>
        <w:spacing w:after="70" w:line="280"/>
      </w:pPr>
      <w:r>
        <w:rPr>
          <w:rFonts w:ascii="Calibri" w:cs="Calibri" w:eastAsia="Calibri" w:hAnsi="Calibri"/>
          <w:color w:val="0E1A1C"/>
          <w:sz w:val="21"/>
          <w:szCs w:val="21"/>
        </w:rPr>
        <w:t xml:space="preserve">Formuleer per criterium een toetsvraag die in een proof of concept te beantwoorden is. Een criterium zonder toetsvraag stuurt de keuze niet.</w:t>
      </w:r>
    </w:p>
    <w:p>
      <w:pPr>
        <w:pStyle w:val="ListParagraph"/>
        <w:numPr>
          <w:ilvl w:val="0"/>
          <w:numId w:val="6"/>
        </w:numPr>
        <w:spacing w:after="70" w:line="280"/>
      </w:pPr>
      <w:r>
        <w:rPr>
          <w:rFonts w:ascii="Calibri" w:cs="Calibri" w:eastAsia="Calibri" w:hAnsi="Calibri"/>
          <w:color w:val="0E1A1C"/>
          <w:sz w:val="21"/>
          <w:szCs w:val="21"/>
        </w:rPr>
        <w:t xml:space="preserve">Draai de proof of concept op je eigen rommelige data. Dat is het enige wat een demo weerlegt.</w:t>
      </w:r>
    </w:p>
    <w:p>
      <w:pPr>
        <w:pStyle w:val="ListParagraph"/>
        <w:numPr>
          <w:ilvl w:val="0"/>
          <w:numId w:val="6"/>
        </w:numPr>
        <w:spacing w:after="70" w:line="280"/>
      </w:pPr>
      <w:r>
        <w:rPr>
          <w:rFonts w:ascii="Calibri" w:cs="Calibri" w:eastAsia="Calibri" w:hAnsi="Calibri"/>
          <w:color w:val="0E1A1C"/>
          <w:sz w:val="21"/>
          <w:szCs w:val="21"/>
        </w:rPr>
        <w:t xml:space="preserve">Betrek de mensen die het straks beheren, niet alleen wie het straks gebruikt. Beheerlast is de kostenpost die je pas na twee jaar voelt.</w:t>
      </w:r>
    </w:p>
    <w:p>
      <w:pPr>
        <w:pStyle w:val="Heading3"/>
        <w:spacing w:after="100" w:before="240"/>
      </w:pPr>
      <w:r>
        <w:rPr>
          <w:rFonts w:ascii="Calibri" w:cs="Calibri" w:eastAsia="Calibri" w:hAnsi="Calibri"/>
          <w:b/>
          <w:bCs/>
          <w:color w:val="3F7D74"/>
          <w:sz w:val="22"/>
          <w:szCs w:val="22"/>
        </w:rPr>
        <w:t xml:space="preserve">Het leveranciersgesprek</w:t>
      </w:r>
    </w:p>
    <w:p>
      <w:pPr>
        <w:pStyle w:val="ListParagraph"/>
        <w:numPr>
          <w:ilvl w:val="0"/>
          <w:numId w:val="4"/>
        </w:numPr>
        <w:spacing w:after="70" w:line="280"/>
      </w:pPr>
      <w:r>
        <w:rPr>
          <w:rFonts w:ascii="Calibri" w:cs="Calibri" w:eastAsia="Calibri" w:hAnsi="Calibri"/>
          <w:color w:val="0E1A1C"/>
          <w:sz w:val="21"/>
          <w:szCs w:val="21"/>
        </w:rPr>
        <w:t xml:space="preserve">Vraag naar een klant die is vertrokken, en waarom. Het antwoord zegt meer dan drie referenties.</w:t>
      </w:r>
    </w:p>
    <w:p>
      <w:pPr>
        <w:pStyle w:val="ListParagraph"/>
        <w:numPr>
          <w:ilvl w:val="0"/>
          <w:numId w:val="4"/>
        </w:numPr>
        <w:spacing w:after="70" w:line="280"/>
      </w:pPr>
      <w:r>
        <w:rPr>
          <w:rFonts w:ascii="Calibri" w:cs="Calibri" w:eastAsia="Calibri" w:hAnsi="Calibri"/>
          <w:color w:val="0E1A1C"/>
          <w:sz w:val="21"/>
          <w:szCs w:val="21"/>
        </w:rPr>
        <w:t xml:space="preserve">Vraag hoe een schemawijziging bij de bron wordt opgevangen, en laat het zien.</w:t>
      </w:r>
    </w:p>
    <w:p>
      <w:pPr>
        <w:pStyle w:val="ListParagraph"/>
        <w:numPr>
          <w:ilvl w:val="0"/>
          <w:numId w:val="4"/>
        </w:numPr>
        <w:spacing w:after="70" w:line="280"/>
      </w:pPr>
      <w:r>
        <w:rPr>
          <w:rFonts w:ascii="Calibri" w:cs="Calibri" w:eastAsia="Calibri" w:hAnsi="Calibri"/>
          <w:color w:val="0E1A1C"/>
          <w:sz w:val="21"/>
          <w:szCs w:val="21"/>
        </w:rPr>
        <w:t xml:space="preserve">Vraag wat er gebeurt bij beëindiging: krijg je je metadata terug, en in welk formaat?</w:t>
      </w:r>
    </w:p>
    <w:p>
      <w:pPr>
        <w:pStyle w:val="ListParagraph"/>
        <w:numPr>
          <w:ilvl w:val="0"/>
          <w:numId w:val="4"/>
        </w:numPr>
        <w:spacing w:after="70" w:line="280"/>
      </w:pPr>
      <w:r>
        <w:rPr>
          <w:rFonts w:ascii="Calibri" w:cs="Calibri" w:eastAsia="Calibri" w:hAnsi="Calibri"/>
          <w:color w:val="0E1A1C"/>
          <w:sz w:val="21"/>
          <w:szCs w:val="21"/>
        </w:rPr>
        <w:t xml:space="preserve">Vraag naar de beheerlast in fte bij een klant van vergelijkbare omvang.</w:t>
      </w:r>
    </w:p>
    <w:p>
      <w:pPr>
        <w:pStyle w:val="Heading1"/>
        <w:spacing w:after="200" w:before="420"/>
      </w:pPr>
      <w:r>
        <w:rPr>
          <w:rFonts w:ascii="Cambria" w:cs="Cambria" w:eastAsia="Cambria" w:hAnsi="Cambria"/>
          <w:b/>
          <w:bCs/>
          <w:color w:val="1B4A48"/>
          <w:sz w:val="34"/>
          <w:szCs w:val="34"/>
        </w:rPr>
        <w:t xml:space="preserve">9. Als je advies niet wordt overgenomen</w:t>
      </w:r>
    </w:p>
    <w:p>
      <w:pPr>
        <w:spacing w:after="140" w:line="288"/>
      </w:pPr>
      <w:r>
        <w:rPr>
          <w:rFonts w:ascii="Calibri" w:cs="Calibri" w:eastAsia="Calibri" w:hAnsi="Calibri"/>
          <w:color w:val="0E1A1C"/>
          <w:sz w:val="21"/>
          <w:szCs w:val="21"/>
        </w:rPr>
        <w:t xml:space="preserve">Dat gebeurt, ook bij goed werk. Drie dingen die dan tellen.</w:t>
      </w:r>
    </w:p>
    <w:p>
      <w:pPr>
        <w:pStyle w:val="ListParagraph"/>
        <w:numPr>
          <w:ilvl w:val="0"/>
          <w:numId w:val="4"/>
        </w:numPr>
        <w:spacing w:after="70" w:line="280"/>
      </w:pPr>
      <w:r>
        <w:rPr>
          <w:rFonts w:ascii="Calibri" w:cs="Calibri" w:eastAsia="Calibri" w:hAnsi="Calibri"/>
          <w:color w:val="0E1A1C"/>
          <w:sz w:val="21"/>
          <w:szCs w:val="21"/>
        </w:rPr>
        <w:t xml:space="preserve">Leg het advies en het genomen besluit schriftelijk vast, zakelijk en zonder verwijt. Dat is geen dekking maar verantwoording — en het is bij een toezichtsvraag precies wat er wordt opgevraagd.</w:t>
      </w:r>
    </w:p>
    <w:p>
      <w:pPr>
        <w:pStyle w:val="ListParagraph"/>
        <w:numPr>
          <w:ilvl w:val="0"/>
          <w:numId w:val="4"/>
        </w:numPr>
        <w:spacing w:after="70" w:line="280"/>
      </w:pPr>
      <w:r>
        <w:rPr>
          <w:rFonts w:ascii="Calibri" w:cs="Calibri" w:eastAsia="Calibri" w:hAnsi="Calibri"/>
          <w:color w:val="0E1A1C"/>
          <w:sz w:val="21"/>
          <w:szCs w:val="21"/>
        </w:rPr>
        <w:t xml:space="preserve">Bepaal of dit een verschil van inzicht is of een grens. Bij een grens — bijvoorbeeld een verwerking zonder grondslag — escaleer je naar de FG of naar de opdrachtgever van je opdrachtgever. Bij een verschil van inzicht doe je dat niet.</w:t>
      </w:r>
    </w:p>
    <w:p>
      <w:pPr>
        <w:pStyle w:val="ListParagraph"/>
        <w:numPr>
          <w:ilvl w:val="0"/>
          <w:numId w:val="4"/>
        </w:numPr>
        <w:spacing w:after="70" w:line="280"/>
      </w:pPr>
      <w:r>
        <w:rPr>
          <w:rFonts w:ascii="Calibri" w:cs="Calibri" w:eastAsia="Calibri" w:hAnsi="Calibri"/>
          <w:color w:val="0E1A1C"/>
          <w:sz w:val="21"/>
          <w:szCs w:val="21"/>
        </w:rPr>
        <w:t xml:space="preserve">Blijf werkbaar. Een adviseur die na één afgewezen advies afstand neemt, wordt bij het volgende niet meer gevraagd — en dat is precies het moment waarop hij nodig was.</w:t>
      </w:r>
    </w:p>
    <w:p>
      <w:pPr>
        <w:pStyle w:val="Heading1"/>
        <w:spacing w:after="200" w:before="420"/>
      </w:pPr>
      <w:r>
        <w:rPr>
          <w:rFonts w:ascii="Cambria" w:cs="Cambria" w:eastAsia="Cambria" w:hAnsi="Cambria"/>
          <w:b/>
          <w:bCs/>
          <w:color w:val="1B4A48"/>
          <w:sz w:val="34"/>
          <w:szCs w:val="34"/>
        </w:rPr>
        <w:t xml:space="preserve">10. Vijf valkuilen</w:t>
      </w:r>
    </w:p>
    <w:p>
      <w:pPr>
        <w:pStyle w:val="ListParagraph"/>
        <w:numPr>
          <w:ilvl w:val="0"/>
          <w:numId w:val="7"/>
        </w:numPr>
        <w:spacing w:after="70" w:line="280"/>
      </w:pPr>
      <w:r>
        <w:rPr>
          <w:rFonts w:ascii="Calibri" w:cs="Calibri" w:eastAsia="Calibri" w:hAnsi="Calibri"/>
          <w:color w:val="0E1A1C"/>
          <w:sz w:val="21"/>
          <w:szCs w:val="21"/>
        </w:rPr>
        <w:t xml:space="preserve">Een business case bouwen op de grootheid die jij belangrijk vindt in plaats van de organisatie.</w:t>
      </w:r>
    </w:p>
    <w:p>
      <w:pPr>
        <w:pStyle w:val="ListParagraph"/>
        <w:numPr>
          <w:ilvl w:val="0"/>
          <w:numId w:val="7"/>
        </w:numPr>
        <w:spacing w:after="70" w:line="280"/>
      </w:pPr>
      <w:r>
        <w:rPr>
          <w:rFonts w:ascii="Calibri" w:cs="Calibri" w:eastAsia="Calibri" w:hAnsi="Calibri"/>
          <w:color w:val="0E1A1C"/>
          <w:sz w:val="21"/>
          <w:szCs w:val="21"/>
        </w:rPr>
        <w:t xml:space="preserve">Prioriteren met een methode die niet tot afvallen dwingt.</w:t>
      </w:r>
    </w:p>
    <w:p>
      <w:pPr>
        <w:pStyle w:val="ListParagraph"/>
        <w:numPr>
          <w:ilvl w:val="0"/>
          <w:numId w:val="7"/>
        </w:numPr>
        <w:spacing w:after="70" w:line="280"/>
      </w:pPr>
      <w:r>
        <w:rPr>
          <w:rFonts w:ascii="Calibri" w:cs="Calibri" w:eastAsia="Calibri" w:hAnsi="Calibri"/>
          <w:color w:val="0E1A1C"/>
          <w:sz w:val="21"/>
          <w:szCs w:val="21"/>
        </w:rPr>
        <w:t xml:space="preserve">De stakeholder met hoge invloed en laag belang overslaan.</w:t>
      </w:r>
    </w:p>
    <w:p>
      <w:pPr>
        <w:pStyle w:val="ListParagraph"/>
        <w:numPr>
          <w:ilvl w:val="0"/>
          <w:numId w:val="7"/>
        </w:numPr>
        <w:spacing w:after="70" w:line="280"/>
      </w:pPr>
      <w:r>
        <w:rPr>
          <w:rFonts w:ascii="Calibri" w:cs="Calibri" w:eastAsia="Calibri" w:hAnsi="Calibri"/>
          <w:color w:val="0E1A1C"/>
          <w:sz w:val="21"/>
          <w:szCs w:val="21"/>
        </w:rPr>
        <w:t xml:space="preserve">Een advies van vijf pagina’s waarin het gevraagde besluit op pagina vier staat.</w:t>
      </w:r>
    </w:p>
    <w:p>
      <w:pPr>
        <w:pStyle w:val="ListParagraph"/>
        <w:numPr>
          <w:ilvl w:val="0"/>
          <w:numId w:val="7"/>
        </w:numPr>
        <w:spacing w:after="70" w:line="280"/>
      </w:pPr>
      <w:r>
        <w:rPr>
          <w:rFonts w:ascii="Calibri" w:cs="Calibri" w:eastAsia="Calibri" w:hAnsi="Calibri"/>
          <w:color w:val="0E1A1C"/>
          <w:sz w:val="21"/>
          <w:szCs w:val="21"/>
        </w:rPr>
        <w:t xml:space="preserve">Een selectie waarin de demo de criteria heeft bepaald in plaats van andersom.</w:t>
      </w:r>
    </w:p>
    <w:p>
      <w:pPr>
        <w:pStyle w:val="Heading1"/>
        <w:spacing w:after="200" w:before="420"/>
      </w:pPr>
      <w:r>
        <w:rPr>
          <w:rFonts w:ascii="Cambria" w:cs="Cambria" w:eastAsia="Cambria" w:hAnsi="Cambria"/>
          <w:b/>
          <w:bCs/>
          <w:color w:val="1B4A48"/>
          <w:sz w:val="34"/>
          <w:szCs w:val="34"/>
        </w:rPr>
        <w:t xml:space="preserve">11. Examenrelevantie</w:t>
      </w:r>
    </w:p>
    <w:p>
      <w:pPr>
        <w:spacing w:after="140" w:line="288"/>
      </w:pPr>
      <w:r>
        <w:rPr>
          <w:rFonts w:ascii="Calibri" w:cs="Calibri" w:eastAsia="Calibri" w:hAnsi="Calibri"/>
          <w:color w:val="0E1A1C"/>
          <w:sz w:val="21"/>
          <w:szCs w:val="21"/>
        </w:rPr>
        <w:t xml:space="preserve">Dit deel dekt de laatste twee domeinen van de IIBA-CBDA: het gebruiken van resultaten om besluitvorming te beïnvloeden, en het sturen van de analytics-strategie op ondernemingsniveau. Samen met deel 18 is de dekking daarmee compleet.</w:t>
      </w:r>
    </w:p>
    <w:p>
      <w:pPr>
        <w:pStyle w:val="Heading3"/>
        <w:spacing w:after="100" w:before="240"/>
      </w:pPr>
      <w:r>
        <w:rPr>
          <w:rFonts w:ascii="Calibri" w:cs="Calibri" w:eastAsia="Calibri" w:hAnsi="Calibri"/>
          <w:b/>
          <w:bCs/>
          <w:color w:val="3F7D74"/>
          <w:sz w:val="22"/>
          <w:szCs w:val="22"/>
        </w:rPr>
        <w:t xml:space="preserve">Aandachtspunten</w:t>
      </w:r>
    </w:p>
    <w:p>
      <w:pPr>
        <w:pStyle w:val="ListParagraph"/>
        <w:numPr>
          <w:ilvl w:val="0"/>
          <w:numId w:val="4"/>
        </w:numPr>
        <w:spacing w:after="70" w:line="280"/>
      </w:pPr>
      <w:r>
        <w:rPr>
          <w:rFonts w:ascii="Calibri" w:cs="Calibri" w:eastAsia="Calibri" w:hAnsi="Calibri"/>
          <w:color w:val="0E1A1C"/>
          <w:sz w:val="21"/>
          <w:szCs w:val="21"/>
        </w:rPr>
        <w:t xml:space="preserve">De stap van resultaat naar aanbeveling, en de rol van de analist daarin.</w:t>
      </w:r>
    </w:p>
    <w:p>
      <w:pPr>
        <w:pStyle w:val="ListParagraph"/>
        <w:numPr>
          <w:ilvl w:val="0"/>
          <w:numId w:val="4"/>
        </w:numPr>
        <w:spacing w:after="70" w:line="280"/>
      </w:pPr>
      <w:r>
        <w:rPr>
          <w:rFonts w:ascii="Calibri" w:cs="Calibri" w:eastAsia="Calibri" w:hAnsi="Calibri"/>
          <w:color w:val="0E1A1C"/>
          <w:sz w:val="21"/>
          <w:szCs w:val="21"/>
        </w:rPr>
        <w:t xml:space="preserve">Stakeholderanalyse en het onderscheid tussen invloed en belang.</w:t>
      </w:r>
    </w:p>
    <w:p>
      <w:pPr>
        <w:pStyle w:val="ListParagraph"/>
        <w:numPr>
          <w:ilvl w:val="0"/>
          <w:numId w:val="4"/>
        </w:numPr>
        <w:spacing w:after="70" w:line="280"/>
      </w:pPr>
      <w:r>
        <w:rPr>
          <w:rFonts w:ascii="Calibri" w:cs="Calibri" w:eastAsia="Calibri" w:hAnsi="Calibri"/>
          <w:color w:val="0E1A1C"/>
          <w:sz w:val="21"/>
          <w:szCs w:val="21"/>
        </w:rPr>
        <w:t xml:space="preserve">Prioriteringsmethoden en het verschil in dwingendheid.</w:t>
      </w:r>
    </w:p>
    <w:p>
      <w:pPr>
        <w:pStyle w:val="ListParagraph"/>
        <w:numPr>
          <w:ilvl w:val="0"/>
          <w:numId w:val="4"/>
        </w:numPr>
        <w:spacing w:after="70" w:line="280"/>
      </w:pPr>
      <w:r>
        <w:rPr>
          <w:rFonts w:ascii="Calibri" w:cs="Calibri" w:eastAsia="Calibri" w:hAnsi="Calibri"/>
          <w:color w:val="0E1A1C"/>
          <w:sz w:val="21"/>
          <w:szCs w:val="21"/>
        </w:rPr>
        <w:t xml:space="preserve">De analytics-strategie als organisatievraagstuk, niet als toolvraagstuk.</w:t>
      </w:r>
    </w:p>
    <w:p>
      <w:pPr>
        <w:pStyle w:val="ListParagraph"/>
        <w:numPr>
          <w:ilvl w:val="0"/>
          <w:numId w:val="4"/>
        </w:numPr>
        <w:spacing w:after="70" w:line="280"/>
      </w:pPr>
      <w:r>
        <w:rPr>
          <w:rFonts w:ascii="Calibri" w:cs="Calibri" w:eastAsia="Calibri" w:hAnsi="Calibri"/>
          <w:color w:val="0E1A1C"/>
          <w:sz w:val="21"/>
          <w:szCs w:val="21"/>
        </w:rPr>
        <w:t xml:space="preserve">Engels: business case, stakeholder analysis, requirements elicitation, prioritisation, decision support.</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Kernbron: de Guide to Business Data Analytics van IIBA, beschikbaar voor leden, plus het certificeringshandboek en de officiële voorbeeldvragen.</w:t>
            </w:r>
          </w:p>
          <w:p>
            <w:pPr>
              <w:spacing w:after="60" w:line="280"/>
            </w:pPr>
            <w:r>
              <w:rPr>
                <w:rFonts w:ascii="Calibri" w:cs="Calibri" w:eastAsia="Calibri" w:hAnsi="Calibri"/>
                <w:color w:val="0E1A1C"/>
                <w:sz w:val="20"/>
                <w:szCs w:val="20"/>
              </w:rPr>
              <w:t xml:space="preserve">Voor requirements en stakeholderanalyse sluit dit deel aan op de BABOK-terminologie; wie die kent, herkent veel.</w:t>
            </w:r>
          </w:p>
          <w:p>
            <w:pPr>
              <w:spacing w:after="60" w:line="280"/>
            </w:pPr>
            <w:r>
              <w:rPr>
                <w:rFonts w:ascii="Calibri" w:cs="Calibri" w:eastAsia="Calibri" w:hAnsi="Calibri"/>
                <w:color w:val="0E1A1C"/>
                <w:sz w:val="20"/>
                <w:szCs w:val="20"/>
              </w:rPr>
              <w:t xml:space="preserve">Examenopzet en inschrijving: iiba.org.</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19 — Van analyse naar advies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 analyse naar advies — Deelnemersreader</dc:title>
  <dc:creator>Ductus B.V.</dc:creator>
  <dc:description>Cursusmateriaal datamanagement, data-analyse en data governance</dc:description>
  <cp:lastModifiedBy>Un-named</cp:lastModifiedBy>
  <cp:revision>1</cp:revision>
  <dcterms:created xsi:type="dcterms:W3CDTF">2026-08-05T12:05:56.580Z</dcterms:created>
  <dcterms:modified xsi:type="dcterms:W3CDTF">2026-08-05T12:05:56.580Z</dcterms:modified>
</cp:coreProperties>
</file>

<file path=docProps/custom.xml><?xml version="1.0" encoding="utf-8"?>
<Properties xmlns="http://schemas.openxmlformats.org/officeDocument/2006/custom-properties" xmlns:vt="http://schemas.openxmlformats.org/officeDocument/2006/docPropsVTypes"/>
</file>