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/>
      </w:pPr>
      <w:r>
        <w:rPr>
          <w:rFonts w:ascii="Consolas" w:cs="Consolas" w:eastAsia="Consolas" w:hAnsi="Consolas"/>
          <w:color w:val="3F7D74"/>
          <w:spacing w:val="60"/>
          <w:sz w:val="18"/>
          <w:szCs w:val="18"/>
        </w:rPr>
        <w:t xml:space="preserve">NIVEAU 2 · PRAKTIJK · DEEL 19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0E1A1C"/>
          <w:sz w:val="56"/>
          <w:szCs w:val="56"/>
        </w:rPr>
        <w:t xml:space="preserve">Van analyse naar advies</w:t>
      </w:r>
    </w:p>
    <w:p>
      <w:pPr>
        <w:spacing w:after="300"/>
      </w:pPr>
      <w:r>
        <w:rPr>
          <w:rFonts w:ascii="Calibri" w:cs="Calibri" w:eastAsia="Calibri" w:hAnsi="Calibri"/>
          <w:color w:val="5F7375"/>
          <w:sz w:val="26"/>
          <w:szCs w:val="26"/>
        </w:rPr>
        <w:t xml:space="preserve">Werkboek met opdrachten</w:t>
      </w:r>
    </w:p>
    <w:p>
      <w:pPr>
        <w:spacing w:after="4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OPDRACHTEN  </w:t>
      </w:r>
      <w:r>
        <w:rPr>
          <w:rFonts w:ascii="Calibri" w:cs="Calibri" w:eastAsia="Calibri" w:hAnsi="Calibri"/>
          <w:b/>
          <w:bCs/>
          <w:color w:val="0E1A1C"/>
          <w:sz w:val="20"/>
          <w:szCs w:val="20"/>
        </w:rPr>
        <w:t xml:space="preserve">7, plus zelftoets van 12 vragen</w:t>
      </w:r>
    </w:p>
    <w:p>
      <w:pPr>
        <w:spacing w:after="4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TIJD  </w:t>
      </w:r>
      <w:r>
        <w:rPr>
          <w:rFonts w:ascii="Calibri" w:cs="Calibri" w:eastAsia="Calibri" w:hAnsi="Calibri"/>
          <w:b/>
          <w:bCs/>
          <w:color w:val="0E1A1C"/>
          <w:sz w:val="20"/>
          <w:szCs w:val="20"/>
        </w:rPr>
        <w:t xml:space="preserve">± 8 uur (5 uur klassikaal, 3 uur zelfstandig)</w:t>
      </w:r>
    </w:p>
    <w:p>
      <w:pPr>
        <w:spacing w:after="4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CASUS  </w:t>
      </w:r>
      <w:r>
        <w:rPr>
          <w:rFonts w:ascii="Calibri" w:cs="Calibri" w:eastAsia="Calibri" w:hAnsi="Calibri"/>
          <w:b/>
          <w:bCs/>
          <w:color w:val="0E1A1C"/>
          <w:sz w:val="20"/>
          <w:szCs w:val="20"/>
        </w:rPr>
        <w:t xml:space="preserve">Meridiaan Pensioen N.V.</w:t>
      </w:r>
    </w:p>
    <w:p>
      <w:pPr>
        <w:spacing w:after="4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MEENEMEN  </w:t>
      </w:r>
      <w:r>
        <w:rPr>
          <w:rFonts w:ascii="Calibri" w:cs="Calibri" w:eastAsia="Calibri" w:hAnsi="Calibri"/>
          <w:b/>
          <w:bCs/>
          <w:color w:val="0E1A1C"/>
          <w:sz w:val="20"/>
          <w:szCs w:val="20"/>
        </w:rPr>
        <w:t xml:space="preserve">Een advies dat je zelf hebt gegeven en dat niet is overgenomen</w:t>
      </w:r>
    </w:p>
    <w:p>
      <w:pPr>
        <w:spacing w:after="340"/>
      </w:pPr>
      <w:r>
        <w:t xml:space="preserve"/>
      </w:r>
    </w:p>
    <w:tbl>
      <w:tblPr>
        <w:tblW w:type="dxa" w:w="9020"/>
        <w:tblBorders>
          <w:top w:val="single" w:color="F6F3EC" w:sz="2"/>
          <w:left w:val="single" w:color="8A6425" w:sz="18"/>
          <w:bottom w:val="single" w:color="F6F3EC" w:sz="2"/>
          <w:right w:val="single" w:color="F6F3EC" w:sz="2"/>
          <w:insideH w:val="single" w:color="F6F3EC" w:sz="2"/>
          <w:insideV w:val="single" w:color="F6F3EC" w:sz="2"/>
        </w:tblBorders>
      </w:tblPr>
      <w:tblGrid>
        <w:gridCol w:w="9020"/>
      </w:tblGrid>
      <w:tr>
        <w:trPr>
          <w:cantSplit/>
        </w:trPr>
        <w:tc>
          <w:tcPr>
            <w:tcW w:type="dxa" w:w="9020"/>
            <w:shd w:fill="F6F3E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8A6425"/>
                <w:sz w:val="19"/>
                <w:szCs w:val="19"/>
              </w:rPr>
              <w:t xml:space="preserve">Voorbereiding, geen vervanging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0E1A1C"/>
                <w:sz w:val="20"/>
                <w:szCs w:val="20"/>
              </w:rPr>
              <w:t xml:space="preserve">Deze cursusmap is onafhankelijk ontwikkeld door Ductus B.V. Ductus is niet gelieerd aan, geaccrediteerd door of goedgekeurd door DAMA International, IIBA, IAPP, de EDM Association of Microsoft.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0E1A1C"/>
                <w:sz w:val="20"/>
                <w:szCs w:val="20"/>
              </w:rPr>
              <w:t xml:space="preserve">Dit materiaal bereidt voor op de genoemde examens en vervangt het officiële examenmateriaal niet. Bodies of knowledge, handboeken en examenblueprints worden hier niet gereproduceerd; deelnemers schaffen die bronnen zelf aan.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0E1A1C"/>
                <w:sz w:val="20"/>
                <w:szCs w:val="20"/>
              </w:rPr>
              <w:t xml:space="preserve">Alle genoemde merken zijn eigendom van hun respectieve houders. Examengegevens gecontroleerd in augustus 2026 — verifieer vóór inschrijving bij de bron.</w:t>
            </w:r>
          </w:p>
        </w:tc>
      </w:tr>
    </w:tbl>
    <w:p>
      <w:r>
        <w:br w:type="page"/>
      </w:r>
    </w:p>
    <w:p>
      <w:pPr>
        <w:pStyle w:val="Heading1"/>
        <w:spacing w:after="200" w:before="420"/>
      </w:pPr>
      <w:r>
        <w:rPr>
          <w:rFonts w:ascii="Cambria" w:cs="Cambria" w:eastAsia="Cambria" w:hAnsi="Cambria"/>
          <w:b/>
          <w:bCs/>
          <w:color w:val="1B4A48"/>
          <w:sz w:val="34"/>
          <w:szCs w:val="34"/>
        </w:rPr>
        <w:t xml:space="preserve">Hoe je dit werkboek gebruikt</w:t>
      </w:r>
    </w:p>
    <w:p>
      <w:pPr>
        <w:spacing w:after="140" w:line="288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Dit deel is het minst technische en het meest bepalende. Opdracht 1 en 2 maak je vóór de sessie; opdracht 3 tot en met 6 doen we klassikaal, grotendeels in gesprekvorm.</w:t>
      </w:r>
    </w:p>
    <w:p>
      <w:pPr>
        <w:spacing w:after="140" w:line="288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Neem een advies mee dat je zelf hebt gegeven en dat niet is overgenomen. Bij opdracht 7 kijk je daar met de kennis uit dit deel opnieuw naar.</w:t>
      </w:r>
    </w:p>
    <w:p>
      <w:pPr>
        <w:spacing w:after="140" w:line="288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Reken erop dat je in opdracht 3 en 6 een rol speelt en dat er wordt teruggekoppeld op hoe je overkomt. Dat voelt ongemakkelijk en het is de reden dat dit deel klassikaal is.</w:t>
      </w:r>
    </w:p>
    <w:p>
      <w:pPr>
        <w:spacing w:after="120"/>
      </w:pPr>
      <w:r>
        <w:t xml:space="preserve"/>
      </w:r>
    </w:p>
    <w:tbl>
      <w:tblPr>
        <w:tblW w:type="dxa" w:w="9020"/>
        <w:tblBorders>
          <w:top w:val="single" w:color="C9D3CE" w:sz="2"/>
          <w:left w:val="single" w:color="C9D3CE" w:sz="2"/>
          <w:bottom w:val="single" w:color="C9D3CE" w:sz="2"/>
          <w:right w:val="single" w:color="C9D3CE" w:sz="2"/>
          <w:insideH w:val="single" w:color="C9D3CE" w:sz="2"/>
          <w:insideV w:val="single" w:color="C9D3CE" w:sz="2"/>
        </w:tblBorders>
      </w:tblPr>
      <w:tblGrid>
        <w:gridCol w:w="2900"/>
        <w:gridCol w:w="1700"/>
        <w:gridCol w:w="1900"/>
        <w:gridCol w:w="2520"/>
      </w:tblGrid>
      <w:tr>
        <w:trPr>
          <w:tblHeader/>
        </w:trPr>
        <w:tc>
          <w:tcPr>
            <w:tcW w:type="dxa" w:w="2900"/>
            <w:shd w:fill="1B4A4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Opdracht</w:t>
            </w:r>
          </w:p>
        </w:tc>
        <w:tc>
          <w:tcPr>
            <w:tcW w:type="dxa" w:w="1700"/>
            <w:shd w:fill="1B4A4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Wanneer</w:t>
            </w:r>
          </w:p>
        </w:tc>
        <w:tc>
          <w:tcPr>
            <w:tcW w:type="dxa" w:w="1900"/>
            <w:shd w:fill="1B4A4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Werkvorm</w:t>
            </w:r>
          </w:p>
        </w:tc>
        <w:tc>
          <w:tcPr>
            <w:tcW w:type="dxa" w:w="2520"/>
            <w:shd w:fill="1B4A4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Tijd</w:t>
            </w:r>
          </w:p>
        </w:tc>
      </w:tr>
      <w:tr>
        <w:tc>
          <w:tcPr>
            <w:tcW w:type="dxa" w:w="29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1. Stakeholdermap</w:t>
            </w:r>
          </w:p>
        </w:tc>
        <w:tc>
          <w:tcPr>
            <w:tcW w:type="dxa" w:w="17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Vooraf</w:t>
            </w:r>
          </w:p>
        </w:tc>
        <w:tc>
          <w:tcPr>
            <w:tcW w:type="dxa" w:w="19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Individueel</w:t>
            </w:r>
          </w:p>
        </w:tc>
        <w:tc>
          <w:tcPr>
            <w:tcW w:type="dxa" w:w="252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40 min</w:t>
            </w:r>
          </w:p>
        </w:tc>
      </w:tr>
      <w:tr>
        <w:tc>
          <w:tcPr>
            <w:tcW w:type="dxa" w:w="290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2. Business case rekenen</w:t>
            </w:r>
          </w:p>
        </w:tc>
        <w:tc>
          <w:tcPr>
            <w:tcW w:type="dxa" w:w="170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Vooraf</w:t>
            </w:r>
          </w:p>
        </w:tc>
        <w:tc>
          <w:tcPr>
            <w:tcW w:type="dxa" w:w="190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Individueel</w:t>
            </w:r>
          </w:p>
        </w:tc>
        <w:tc>
          <w:tcPr>
            <w:tcW w:type="dxa" w:w="252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50 min</w:t>
            </w:r>
          </w:p>
        </w:tc>
      </w:tr>
      <w:tr>
        <w:tc>
          <w:tcPr>
            <w:tcW w:type="dxa" w:w="29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3. Workshop faciliteren</w:t>
            </w:r>
          </w:p>
        </w:tc>
        <w:tc>
          <w:tcPr>
            <w:tcW w:type="dxa" w:w="17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Klassikaal</w:t>
            </w:r>
          </w:p>
        </w:tc>
        <w:tc>
          <w:tcPr>
            <w:tcW w:type="dxa" w:w="19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Groep</w:t>
            </w:r>
          </w:p>
        </w:tc>
        <w:tc>
          <w:tcPr>
            <w:tcW w:type="dxa" w:w="252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75 min</w:t>
            </w:r>
          </w:p>
        </w:tc>
      </w:tr>
      <w:tr>
        <w:tc>
          <w:tcPr>
            <w:tcW w:type="dxa" w:w="290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4. Prioriteren onder schaarste</w:t>
            </w:r>
          </w:p>
        </w:tc>
        <w:tc>
          <w:tcPr>
            <w:tcW w:type="dxa" w:w="170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Klassikaal</w:t>
            </w:r>
          </w:p>
        </w:tc>
        <w:tc>
          <w:tcPr>
            <w:tcW w:type="dxa" w:w="190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Groep</w:t>
            </w:r>
          </w:p>
        </w:tc>
        <w:tc>
          <w:tcPr>
            <w:tcW w:type="dxa" w:w="252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60 min</w:t>
            </w:r>
          </w:p>
        </w:tc>
      </w:tr>
      <w:tr>
        <w:tc>
          <w:tcPr>
            <w:tcW w:type="dxa" w:w="29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5. Het advies van één pagina</w:t>
            </w:r>
          </w:p>
        </w:tc>
        <w:tc>
          <w:tcPr>
            <w:tcW w:type="dxa" w:w="17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Klassikaal</w:t>
            </w:r>
          </w:p>
        </w:tc>
        <w:tc>
          <w:tcPr>
            <w:tcW w:type="dxa" w:w="19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Individueel</w:t>
            </w:r>
          </w:p>
        </w:tc>
        <w:tc>
          <w:tcPr>
            <w:tcW w:type="dxa" w:w="252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50 min</w:t>
            </w:r>
          </w:p>
        </w:tc>
      </w:tr>
      <w:tr>
        <w:tc>
          <w:tcPr>
            <w:tcW w:type="dxa" w:w="290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6. Het leveranciersgesprek</w:t>
            </w:r>
          </w:p>
        </w:tc>
        <w:tc>
          <w:tcPr>
            <w:tcW w:type="dxa" w:w="170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Klassikaal</w:t>
            </w:r>
          </w:p>
        </w:tc>
        <w:tc>
          <w:tcPr>
            <w:tcW w:type="dxa" w:w="190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Tweetal</w:t>
            </w:r>
          </w:p>
        </w:tc>
        <w:tc>
          <w:tcPr>
            <w:tcW w:type="dxa" w:w="252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45 min</w:t>
            </w:r>
          </w:p>
        </w:tc>
      </w:tr>
      <w:tr>
        <w:tc>
          <w:tcPr>
            <w:tcW w:type="dxa" w:w="29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7. Je afgewezen advies</w:t>
            </w:r>
          </w:p>
        </w:tc>
        <w:tc>
          <w:tcPr>
            <w:tcW w:type="dxa" w:w="17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Achteraf</w:t>
            </w:r>
          </w:p>
        </w:tc>
        <w:tc>
          <w:tcPr>
            <w:tcW w:type="dxa" w:w="19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Individueel</w:t>
            </w:r>
          </w:p>
        </w:tc>
        <w:tc>
          <w:tcPr>
            <w:tcW w:type="dxa" w:w="252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60 min</w:t>
            </w:r>
          </w:p>
        </w:tc>
      </w:tr>
      <w:tr>
        <w:tc>
          <w:tcPr>
            <w:tcW w:type="dxa" w:w="290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Zelftoets</w:t>
            </w:r>
          </w:p>
        </w:tc>
        <w:tc>
          <w:tcPr>
            <w:tcW w:type="dxa" w:w="170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Achteraf</w:t>
            </w:r>
          </w:p>
        </w:tc>
        <w:tc>
          <w:tcPr>
            <w:tcW w:type="dxa" w:w="190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Individueel</w:t>
            </w:r>
          </w:p>
        </w:tc>
        <w:tc>
          <w:tcPr>
            <w:tcW w:type="dxa" w:w="252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25 min</w:t>
            </w:r>
          </w:p>
        </w:tc>
      </w:tr>
    </w:tbl>
    <w:p>
      <w:r>
        <w:br w:type="page"/>
      </w:r>
    </w:p>
    <w:p>
      <w:pPr>
        <w:spacing w:after="40" w:before="200"/>
      </w:pPr>
      <w:r>
        <w:rPr>
          <w:rFonts w:ascii="Consolas" w:cs="Consolas" w:eastAsia="Consolas" w:hAnsi="Consolas"/>
          <w:color w:val="3F7D74"/>
          <w:spacing w:val="40"/>
          <w:sz w:val="17"/>
          <w:szCs w:val="17"/>
        </w:rPr>
        <w:t xml:space="preserve">OPDRACHT 1  ·  40 minuten</w:t>
      </w:r>
    </w:p>
    <w:p>
      <w:pPr>
        <w:spacing w:after="140"/>
      </w:pPr>
      <w:r>
        <w:rPr>
          <w:rFonts w:ascii="Cambria" w:cs="Cambria" w:eastAsia="Cambria" w:hAnsi="Cambria"/>
          <w:b/>
          <w:bCs/>
          <w:color w:val="1B4A48"/>
          <w:sz w:val="30"/>
          <w:szCs w:val="30"/>
        </w:rPr>
        <w:t xml:space="preserve">Stakeholdermap</w:t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Doel.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De partijen in beeld brengen die je voorstel kunnen dragen of tegenhouden.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Breng voor het governancevoorstel bij Meridiaan minimaal acht stakeholders in kaart op invloed en belang.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Markeer het kwadrant hoge invloed en laag belang; benoem per persoon wat hij bij jouw voorstel te verliezen heeft.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Voorspel per stakeholder welke vorm van weerstand je verwacht.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Bepaal wie je als eerste spreekt en waarom juist die.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Formuleer voor de lastigste stakeholder de openingszin van dat gesprek.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Bepaal wie mede-eigenaar van het voorstel moet worden om het te laten slagen.</w:t>
      </w:r>
    </w:p>
    <w:p>
      <w:pPr>
        <w:spacing w:after="60"/>
      </w:pPr>
      <w:r>
        <w:t xml:space="preserve"/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Op te leveren.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Stakeholdermap met acht partijen, verwachte weerstand, volgorde en één openingszin.</w:t>
      </w:r>
    </w:p>
    <w:tbl>
      <w:tblPr>
        <w:tblW w:type="dxa" w:w="9020"/>
        <w:tblBorders>
          <w:top w:val="single" w:color="F6F3EC" w:sz="2"/>
          <w:left w:val="single" w:color="8A6425" w:sz="18"/>
          <w:bottom w:val="single" w:color="F6F3EC" w:sz="2"/>
          <w:right w:val="single" w:color="F6F3EC" w:sz="2"/>
          <w:insideH w:val="single" w:color="F6F3EC" w:sz="2"/>
          <w:insideV w:val="single" w:color="F6F3EC" w:sz="2"/>
        </w:tblBorders>
      </w:tblPr>
      <w:tblGrid>
        <w:gridCol w:w="9020"/>
      </w:tblGrid>
      <w:tr>
        <w:trPr>
          <w:cantSplit/>
        </w:trPr>
        <w:tc>
          <w:tcPr>
            <w:tcW w:type="dxa" w:w="9020"/>
            <w:shd w:fill="F6F3E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8A6425"/>
                <w:sz w:val="19"/>
                <w:szCs w:val="19"/>
              </w:rPr>
              <w:t xml:space="preserve">Tip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0E1A1C"/>
                <w:sz w:val="20"/>
                <w:szCs w:val="20"/>
              </w:rPr>
              <w:t xml:space="preserve">Het kwadrant hoge invloed en laag belang is waar voorstellen sneuvelen. Iemand die er niets bij wint, heeft geen reden om risico te lopen — tenzij je dat risico wegneemt.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0"/>
      </w:tblGrid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spacing w:after="40" w:before="200"/>
      </w:pPr>
      <w:r>
        <w:rPr>
          <w:rFonts w:ascii="Consolas" w:cs="Consolas" w:eastAsia="Consolas" w:hAnsi="Consolas"/>
          <w:color w:val="3F7D74"/>
          <w:spacing w:val="40"/>
          <w:sz w:val="17"/>
          <w:szCs w:val="17"/>
        </w:rPr>
        <w:t xml:space="preserve">OPDRACHT 2  ·  50 minuten</w:t>
      </w:r>
    </w:p>
    <w:p>
      <w:pPr>
        <w:spacing w:after="140"/>
      </w:pPr>
      <w:r>
        <w:rPr>
          <w:rFonts w:ascii="Cambria" w:cs="Cambria" w:eastAsia="Cambria" w:hAnsi="Cambria"/>
          <w:b/>
          <w:bCs/>
          <w:color w:val="1B4A48"/>
          <w:sz w:val="30"/>
          <w:szCs w:val="30"/>
        </w:rPr>
        <w:t xml:space="preserve">Business case rekenen</w:t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Doel.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Een case bouwen op de grootheid die bij deze opdrachtgever het besluit bepaalt.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Bepaal welke van de vier grootheden bij Meridiaan wint, en verantwoord dat.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Reken de directe kosten van de huidige situatie door naar een jaarbedrag, met alle aannames apart.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Werk het risicoargument uit: kans maal impact, met de aanname zichtbaar.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Zet de kosten van de maatregel ernaast, inclusief het beheer na oplevering.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Bereken de terugverdientijd en wees eerlijk als die lang is.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Schrijf de case in maximaal vijf zinnen op, geschikt voor de CFO.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Bepaal welke aanname een kritische lezer als eerste aanvalt en hoe je die afdekt.</w:t>
      </w:r>
    </w:p>
    <w:p>
      <w:pPr>
        <w:spacing w:after="60"/>
      </w:pPr>
      <w:r>
        <w:t xml:space="preserve"/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Op te leveren.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Business case met zichtbare aannames, terugverdientijd en vijf zinnen voor de CFO.</w:t>
      </w:r>
    </w:p>
    <w:tbl>
      <w:tblPr>
        <w:tblW w:type="dxa" w:w="9020"/>
        <w:tblBorders>
          <w:top w:val="single" w:color="F6F3EC" w:sz="2"/>
          <w:left w:val="single" w:color="8A6425" w:sz="18"/>
          <w:bottom w:val="single" w:color="F6F3EC" w:sz="2"/>
          <w:right w:val="single" w:color="F6F3EC" w:sz="2"/>
          <w:insideH w:val="single" w:color="F6F3EC" w:sz="2"/>
          <w:insideV w:val="single" w:color="F6F3EC" w:sz="2"/>
        </w:tblBorders>
      </w:tblPr>
      <w:tblGrid>
        <w:gridCol w:w="9020"/>
      </w:tblGrid>
      <w:tr>
        <w:trPr>
          <w:cantSplit/>
        </w:trPr>
        <w:tc>
          <w:tcPr>
            <w:tcW w:type="dxa" w:w="9020"/>
            <w:shd w:fill="F6F3E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8A6425"/>
                <w:sz w:val="19"/>
                <w:szCs w:val="19"/>
              </w:rPr>
              <w:t xml:space="preserve">Tip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0E1A1C"/>
                <w:sz w:val="20"/>
                <w:szCs w:val="20"/>
              </w:rPr>
              <w:t xml:space="preserve">Een case die uitsluitend op bespaarde uren rust, komt bij Meridiaan niet door de stuurgroep. Niet omdat de som fout is, maar omdat hij de verkeerde vraag beantwoordt.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0"/>
      </w:tblGrid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spacing w:after="40" w:before="200"/>
      </w:pPr>
      <w:r>
        <w:rPr>
          <w:rFonts w:ascii="Consolas" w:cs="Consolas" w:eastAsia="Consolas" w:hAnsi="Consolas"/>
          <w:color w:val="3F7D74"/>
          <w:spacing w:val="40"/>
          <w:sz w:val="17"/>
          <w:szCs w:val="17"/>
        </w:rPr>
        <w:t xml:space="preserve">OPDRACHT 3  ·  75 minuten</w:t>
      </w:r>
    </w:p>
    <w:p>
      <w:pPr>
        <w:spacing w:after="140"/>
      </w:pPr>
      <w:r>
        <w:rPr>
          <w:rFonts w:ascii="Cambria" w:cs="Cambria" w:eastAsia="Cambria" w:hAnsi="Cambria"/>
          <w:b/>
          <w:bCs/>
          <w:color w:val="1B4A48"/>
          <w:sz w:val="30"/>
          <w:szCs w:val="30"/>
        </w:rPr>
        <w:t xml:space="preserve">Workshop faciliteren</w:t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Doel.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Een sessie leiden die tot een besluit leidt, met echte weerstand in de zaal.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Je faciliteert een workshop van twintig minuten met als vraag: wie wordt eigenaar van het domein Deelnemer?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De rollen in de zaal krijg je van de docent; twee deelnemers spelen weerstand.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Formuleer de vraag zichtbaar en houd hem gedurende de sessie zichtbaar.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Laat iedereen eerst individueel opschrijven voordat er wordt gesproken.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Werk toe naar één besluit en sluit af met wie wat doet vóór welke datum.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Noteer achteraf op welk moment de sessie dreigde af te dwalen en wat je deed.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Ontvang feedback van de groep op één punt: stuurde je of faciliteerde je?</w:t>
      </w:r>
    </w:p>
    <w:p>
      <w:pPr>
        <w:spacing w:after="60"/>
      </w:pPr>
      <w:r>
        <w:t xml:space="preserve"/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Op te leveren.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Een genomen besluit met actiehouder en datum, plus je eigen observatie en de ontvangen feedback.</w:t>
      </w:r>
    </w:p>
    <w:tbl>
      <w:tblPr>
        <w:tblW w:type="dxa" w:w="9020"/>
        <w:tblBorders>
          <w:top w:val="single" w:color="F6F3EC" w:sz="2"/>
          <w:left w:val="single" w:color="8A6425" w:sz="18"/>
          <w:bottom w:val="single" w:color="F6F3EC" w:sz="2"/>
          <w:right w:val="single" w:color="F6F3EC" w:sz="2"/>
          <w:insideH w:val="single" w:color="F6F3EC" w:sz="2"/>
          <w:insideV w:val="single" w:color="F6F3EC" w:sz="2"/>
        </w:tblBorders>
      </w:tblPr>
      <w:tblGrid>
        <w:gridCol w:w="9020"/>
      </w:tblGrid>
      <w:tr>
        <w:trPr>
          <w:cantSplit/>
        </w:trPr>
        <w:tc>
          <w:tcPr>
            <w:tcW w:type="dxa" w:w="9020"/>
            <w:shd w:fill="F6F3E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8A6425"/>
                <w:sz w:val="19"/>
                <w:szCs w:val="19"/>
              </w:rPr>
              <w:t xml:space="preserve">Tip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0E1A1C"/>
                <w:sz w:val="20"/>
                <w:szCs w:val="20"/>
              </w:rPr>
              <w:t xml:space="preserve">Als je zelf al weet wat het antwoord moet zijn, zeg dat dan aan het begin. Sturen zonder het te benoemen is de snelste manier om de zaal te verliezen.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0"/>
      </w:tblGrid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spacing w:after="40" w:before="200"/>
      </w:pPr>
      <w:r>
        <w:rPr>
          <w:rFonts w:ascii="Consolas" w:cs="Consolas" w:eastAsia="Consolas" w:hAnsi="Consolas"/>
          <w:color w:val="3F7D74"/>
          <w:spacing w:val="40"/>
          <w:sz w:val="17"/>
          <w:szCs w:val="17"/>
        </w:rPr>
        <w:t xml:space="preserve">OPDRACHT 4  ·  60 minuten</w:t>
      </w:r>
    </w:p>
    <w:p>
      <w:pPr>
        <w:spacing w:after="140"/>
      </w:pPr>
      <w:r>
        <w:rPr>
          <w:rFonts w:ascii="Cambria" w:cs="Cambria" w:eastAsia="Cambria" w:hAnsi="Cambria"/>
          <w:b/>
          <w:bCs/>
          <w:color w:val="1B4A48"/>
          <w:sz w:val="30"/>
          <w:szCs w:val="30"/>
        </w:rPr>
        <w:t xml:space="preserve">Prioriteren onder schaarste</w:t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Doel.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Een keuze afdwingen tussen twaalf initiatieven met capaciteit voor vier.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Je krijgt twaalf initiatieven uit het Meridiaan-programma en capaciteit voor vier.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Breng eerst de afhankelijkheden in kaart: wat kan niet zonder wat?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Prioriteer eerst met MoSCoW en constateer wat er gebeurt.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Prioriteer daarna met gedwongen rangorde, zonder gelijke plaatsen.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Vergelijk de uitkomsten en verklaar het verschil.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Bepaal welke vier doorgaan en formuleer per afvaller de zin waarmee je dat meldt.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Beschrijf welk conflict je hebt verplaatst van maand drie naar vandaag.</w:t>
      </w:r>
    </w:p>
    <w:p>
      <w:pPr>
        <w:spacing w:after="60"/>
      </w:pPr>
      <w:r>
        <w:t xml:space="preserve"/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Op te leveren.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Afhankelijkhedenkaart, twee prioriteringen met verklaring, en vier gekozen initiatieven met afwijsboodschappen.</w:t>
      </w:r>
    </w:p>
    <w:tbl>
      <w:tblPr>
        <w:tblW w:type="dxa" w:w="9020"/>
        <w:tblBorders>
          <w:top w:val="single" w:color="F6F3EC" w:sz="2"/>
          <w:left w:val="single" w:color="8A6425" w:sz="18"/>
          <w:bottom w:val="single" w:color="F6F3EC" w:sz="2"/>
          <w:right w:val="single" w:color="F6F3EC" w:sz="2"/>
          <w:insideH w:val="single" w:color="F6F3EC" w:sz="2"/>
          <w:insideV w:val="single" w:color="F6F3EC" w:sz="2"/>
        </w:tblBorders>
      </w:tblPr>
      <w:tblGrid>
        <w:gridCol w:w="9020"/>
      </w:tblGrid>
      <w:tr>
        <w:trPr>
          <w:cantSplit/>
        </w:trPr>
        <w:tc>
          <w:tcPr>
            <w:tcW w:type="dxa" w:w="9020"/>
            <w:shd w:fill="F6F3E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8A6425"/>
                <w:sz w:val="19"/>
                <w:szCs w:val="19"/>
              </w:rPr>
              <w:t xml:space="preserve">Tip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0E1A1C"/>
                <w:sz w:val="20"/>
                <w:szCs w:val="20"/>
              </w:rPr>
              <w:t xml:space="preserve">MoSCoW levert doorgaans elf Musts op. Dat is geen mislukking van de deelnemers maar van de methode — en precies wat de opdracht wil laten zien.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0"/>
      </w:tblGrid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spacing w:after="40" w:before="200"/>
      </w:pPr>
      <w:r>
        <w:rPr>
          <w:rFonts w:ascii="Consolas" w:cs="Consolas" w:eastAsia="Consolas" w:hAnsi="Consolas"/>
          <w:color w:val="3F7D74"/>
          <w:spacing w:val="40"/>
          <w:sz w:val="17"/>
          <w:szCs w:val="17"/>
        </w:rPr>
        <w:t xml:space="preserve">OPDRACHT 5  ·  50 minuten</w:t>
      </w:r>
    </w:p>
    <w:p>
      <w:pPr>
        <w:spacing w:after="140"/>
      </w:pPr>
      <w:r>
        <w:rPr>
          <w:rFonts w:ascii="Cambria" w:cs="Cambria" w:eastAsia="Cambria" w:hAnsi="Cambria"/>
          <w:b/>
          <w:bCs/>
          <w:color w:val="1B4A48"/>
          <w:sz w:val="30"/>
          <w:szCs w:val="30"/>
        </w:rPr>
        <w:t xml:space="preserve">Het advies van één pagina</w:t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Doel.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Alles wat je hebt terugbrengen tot één pagina die tot een besluit leidt.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Schrijf het advies over het eigenaarschapsvoorstel in de vijf blokken uit hoofdstuk 7.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Formuleer het advies als één zin waar iemand het mee oneens kan zijn.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Kies drie argumenten en verantwoord waarom je de andere weglaat.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Schrijf de regel over wat er gebeurt bij nee.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Haal alles weg wat over methode gaat en zet het in de bijlage.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Laat een medecursist hem lezen en aanwijzen waar hij zou gaan discussiëren in plaats van beslissen.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Kort in tot het daadwerkelijk op één pagina past.</w:t>
      </w:r>
    </w:p>
    <w:p>
      <w:pPr>
        <w:spacing w:after="60"/>
      </w:pPr>
      <w:r>
        <w:t xml:space="preserve"/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Op te leveren.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Advies van één pagina met een expliciet gevraagd besluit en een neescenario.</w:t>
      </w:r>
    </w:p>
    <w:tbl>
      <w:tblPr>
        <w:tblW w:type="dxa" w:w="9020"/>
        <w:tblBorders>
          <w:top w:val="single" w:color="F6F3EC" w:sz="2"/>
          <w:left w:val="single" w:color="8A6425" w:sz="18"/>
          <w:bottom w:val="single" w:color="F6F3EC" w:sz="2"/>
          <w:right w:val="single" w:color="F6F3EC" w:sz="2"/>
          <w:insideH w:val="single" w:color="F6F3EC" w:sz="2"/>
          <w:insideV w:val="single" w:color="F6F3EC" w:sz="2"/>
        </w:tblBorders>
      </w:tblPr>
      <w:tblGrid>
        <w:gridCol w:w="9020"/>
      </w:tblGrid>
      <w:tr>
        <w:trPr>
          <w:cantSplit/>
        </w:trPr>
        <w:tc>
          <w:tcPr>
            <w:tcW w:type="dxa" w:w="9020"/>
            <w:shd w:fill="F6F3E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8A6425"/>
                <w:sz w:val="19"/>
                <w:szCs w:val="19"/>
              </w:rPr>
              <w:t xml:space="preserve">Tip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0E1A1C"/>
                <w:sz w:val="20"/>
                <w:szCs w:val="20"/>
              </w:rPr>
              <w:t xml:space="preserve">De regel over wat er gebeurt bij nee wordt vrijwel altijd weggelaten en is het krachtigst. Hij dwingt tot een keuze in plaats van tot uitstel.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0"/>
      </w:tblGrid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spacing w:after="40" w:before="200"/>
      </w:pPr>
      <w:r>
        <w:rPr>
          <w:rFonts w:ascii="Consolas" w:cs="Consolas" w:eastAsia="Consolas" w:hAnsi="Consolas"/>
          <w:color w:val="3F7D74"/>
          <w:spacing w:val="40"/>
          <w:sz w:val="17"/>
          <w:szCs w:val="17"/>
        </w:rPr>
        <w:t xml:space="preserve">OPDRACHT 6  ·  45 minuten</w:t>
      </w:r>
    </w:p>
    <w:p>
      <w:pPr>
        <w:spacing w:after="140"/>
      </w:pPr>
      <w:r>
        <w:rPr>
          <w:rFonts w:ascii="Cambria" w:cs="Cambria" w:eastAsia="Cambria" w:hAnsi="Cambria"/>
          <w:b/>
          <w:bCs/>
          <w:color w:val="1B4A48"/>
          <w:sz w:val="30"/>
          <w:szCs w:val="30"/>
        </w:rPr>
        <w:t xml:space="preserve">Het leveranciersgesprek</w:t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Doel.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Een selectiegesprek voeren waarin de demo de keuze niet stuurt.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Je voert een gesprek van vijftien minuten met een leverancier van catalogustooling; je duopartner speelt de leverancier.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Gebruik je criteria uit deel 13 en stel per criterium de toetsvraag.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Stel de vier gesprekvragen uit hoofdstuk 8, inclusief die over de vertrokken klant.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Weersta de demo: vraag om jouw scenario te tonen op jouw data, niet om de standaardpresentatie.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Wissel van rol en voer het gesprek nogmaals.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Noteer welke vraag de meeste informatie opleverde, en welke werd ontweken.</w:t>
      </w:r>
    </w:p>
    <w:p>
      <w:pPr>
        <w:spacing w:after="60"/>
      </w:pPr>
      <w:r>
        <w:t xml:space="preserve"/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Op te leveren.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Gespreksaantekeningen met per criterium een bevinding, plus de ontweken vraag.</w:t>
      </w:r>
    </w:p>
    <w:tbl>
      <w:tblPr>
        <w:tblW w:type="dxa" w:w="9020"/>
        <w:tblBorders>
          <w:top w:val="single" w:color="F6F3EC" w:sz="2"/>
          <w:left w:val="single" w:color="8A6425" w:sz="18"/>
          <w:bottom w:val="single" w:color="F6F3EC" w:sz="2"/>
          <w:right w:val="single" w:color="F6F3EC" w:sz="2"/>
          <w:insideH w:val="single" w:color="F6F3EC" w:sz="2"/>
          <w:insideV w:val="single" w:color="F6F3EC" w:sz="2"/>
        </w:tblBorders>
      </w:tblPr>
      <w:tblGrid>
        <w:gridCol w:w="9020"/>
      </w:tblGrid>
      <w:tr>
        <w:trPr>
          <w:cantSplit/>
        </w:trPr>
        <w:tc>
          <w:tcPr>
            <w:tcW w:type="dxa" w:w="9020"/>
            <w:shd w:fill="F6F3E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8A6425"/>
                <w:sz w:val="19"/>
                <w:szCs w:val="19"/>
              </w:rPr>
              <w:t xml:space="preserve">Tip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0E1A1C"/>
                <w:sz w:val="20"/>
                <w:szCs w:val="20"/>
              </w:rPr>
              <w:t xml:space="preserve">De vraag naar een vertrokken klant is ongemakkelijk en levert het meeste op. Een leverancier die er geen heeft, is te jong of niet eerlijk.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0"/>
      </w:tblGrid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spacing w:after="40" w:before="200"/>
      </w:pPr>
      <w:r>
        <w:rPr>
          <w:rFonts w:ascii="Consolas" w:cs="Consolas" w:eastAsia="Consolas" w:hAnsi="Consolas"/>
          <w:color w:val="3F7D74"/>
          <w:spacing w:val="40"/>
          <w:sz w:val="17"/>
          <w:szCs w:val="17"/>
        </w:rPr>
        <w:t xml:space="preserve">OPDRACHT 7  ·  60 minuten</w:t>
      </w:r>
    </w:p>
    <w:p>
      <w:pPr>
        <w:spacing w:after="140"/>
      </w:pPr>
      <w:r>
        <w:rPr>
          <w:rFonts w:ascii="Cambria" w:cs="Cambria" w:eastAsia="Cambria" w:hAnsi="Cambria"/>
          <w:b/>
          <w:bCs/>
          <w:color w:val="1B4A48"/>
          <w:sz w:val="30"/>
          <w:szCs w:val="30"/>
        </w:rPr>
        <w:t xml:space="preserve">Je afgewezen advies</w:t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Doel.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Met de kennis uit dit deel terugkijken op iets wat niet is overgenomen.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Beschrijf het advies dat je gaf en het besluit dat werd genomen.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Loop de vijf valkuilen uit hoofdstuk 10 langs: welke was van toepassing?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Breng achteraf de stakeholders in kaart en kijk of je iemand miste.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Bepaal of dit een verschil van inzicht was of een grens, en of je juist hebt gehandeld.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Herschrijf het advies als een pagina volgens hoofdstuk 7.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Bepaal of het herschreven advies waarschijnlijk wél was overgenomen, en wees eerlijk als het antwoord nee is.</w:t>
      </w:r>
    </w:p>
    <w:p>
      <w:pPr>
        <w:spacing w:after="60"/>
      </w:pPr>
      <w:r>
        <w:t xml:space="preserve"/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Op te leveren.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Analyse van het afgewezen advies, een herschreven versie, en een eerlijk oordeel over het effect.</w:t>
      </w:r>
    </w:p>
    <w:tbl>
      <w:tblPr>
        <w:tblW w:type="dxa" w:w="9020"/>
        <w:tblBorders>
          <w:top w:val="single" w:color="F6F3EC" w:sz="2"/>
          <w:left w:val="single" w:color="8A6425" w:sz="18"/>
          <w:bottom w:val="single" w:color="F6F3EC" w:sz="2"/>
          <w:right w:val="single" w:color="F6F3EC" w:sz="2"/>
          <w:insideH w:val="single" w:color="F6F3EC" w:sz="2"/>
          <w:insideV w:val="single" w:color="F6F3EC" w:sz="2"/>
        </w:tblBorders>
      </w:tblPr>
      <w:tblGrid>
        <w:gridCol w:w="9020"/>
      </w:tblGrid>
      <w:tr>
        <w:trPr>
          <w:cantSplit/>
        </w:trPr>
        <w:tc>
          <w:tcPr>
            <w:tcW w:type="dxa" w:w="9020"/>
            <w:shd w:fill="F6F3E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8A6425"/>
                <w:sz w:val="19"/>
                <w:szCs w:val="19"/>
              </w:rPr>
              <w:t xml:space="preserve">Tip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0E1A1C"/>
                <w:sz w:val="20"/>
                <w:szCs w:val="20"/>
              </w:rPr>
              <w:t xml:space="preserve">Soms is het antwoord dat de vorm niets had veranderd omdat het besluit al vaststond. Dat is een even waardevolle uitkomst — en het bepaalt of je de volgende keer eerder aan tafel wilt.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0"/>
      </w:tblGrid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spacing w:after="200" w:before="420"/>
      </w:pPr>
      <w:r>
        <w:rPr>
          <w:rFonts w:ascii="Cambria" w:cs="Cambria" w:eastAsia="Cambria" w:hAnsi="Cambria"/>
          <w:b/>
          <w:bCs/>
          <w:color w:val="1B4A48"/>
          <w:sz w:val="34"/>
          <w:szCs w:val="34"/>
        </w:rPr>
        <w:t xml:space="preserve">Zelftoets</w:t>
      </w:r>
    </w:p>
    <w:p>
      <w:pPr>
        <w:spacing w:after="140" w:line="288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12 meerkeuzevragen in de stijl van de scenariovragen die je op het examen tegenkomt. Deze vragen zijn door Ductus zelf opgesteld; het zijn geen examenvragen en ze zijn niet ontleend aan officieel examenmateriaal. De antwoorden krijg je van je docent.</w:t>
      </w:r>
    </w:p>
    <w:p>
      <w:pPr>
        <w:spacing w:after="140" w:line="288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Werk zonder hulpmiddelen. Noteer bij elke vraag ook je zekerheid — dat maakt de nabespreking bruikbaarder dan het aantal goede antwoorden.</w:t>
      </w:r>
    </w:p>
    <w:p>
      <w:pPr>
        <w:spacing w:after="140"/>
      </w:pPr>
      <w:r>
        <w:t xml:space="preserve"/>
      </w:r>
    </w:p>
    <w:p>
      <w:pPr>
        <w:spacing w:after="90" w:before="280"/>
      </w:pPr>
      <w:r>
        <w:rPr>
          <w:rFonts w:ascii="Consolas" w:cs="Consolas" w:eastAsia="Consolas" w:hAnsi="Consolas"/>
          <w:b/>
          <w:bCs/>
          <w:color w:val="3F7D74"/>
          <w:sz w:val="20"/>
          <w:szCs w:val="20"/>
        </w:rPr>
        <w:t xml:space="preserve">1.  </w:t>
      </w: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Waarom komt een business case op uitsluitend bespaarde uren bij Meridiaan niet door de stuurgroep?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A.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De berekening klopt niet.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B.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Hij beantwoordt de verkeerde vraag; hier winnen wettelijke noodzaak en vermeden risico.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C.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Uren zijn niet meetbaar.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D.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De stuurgroep begrijpt het niet.</w:t>
      </w:r>
    </w:p>
    <w:p>
      <w:pPr>
        <w:spacing w:after="0" w:before="80"/>
        <w:ind w:left="42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Antwoord: ______     Zekerheid:  laag / gemiddeld / hoog</w:t>
      </w:r>
    </w:p>
    <w:p>
      <w:pPr>
        <w:spacing w:after="90" w:before="280"/>
      </w:pPr>
      <w:r>
        <w:rPr>
          <w:rFonts w:ascii="Consolas" w:cs="Consolas" w:eastAsia="Consolas" w:hAnsi="Consolas"/>
          <w:b/>
          <w:bCs/>
          <w:color w:val="3F7D74"/>
          <w:sz w:val="20"/>
          <w:szCs w:val="20"/>
        </w:rPr>
        <w:t xml:space="preserve">2.  </w:t>
      </w: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Welke requirementscategorie ontbreekt doorgaans?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A.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Informatiebehoefte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B.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Semantiek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C.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Aantoonbaarheid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D.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Kwaliteit</w:t>
      </w:r>
    </w:p>
    <w:p>
      <w:pPr>
        <w:spacing w:after="0" w:before="80"/>
        <w:ind w:left="42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Antwoord: ______     Zekerheid:  laag / gemiddeld / hoog</w:t>
      </w:r>
    </w:p>
    <w:p>
      <w:pPr>
        <w:spacing w:after="90" w:before="280"/>
      </w:pPr>
      <w:r>
        <w:rPr>
          <w:rFonts w:ascii="Consolas" w:cs="Consolas" w:eastAsia="Consolas" w:hAnsi="Consolas"/>
          <w:b/>
          <w:bCs/>
          <w:color w:val="3F7D74"/>
          <w:sz w:val="20"/>
          <w:szCs w:val="20"/>
        </w:rPr>
        <w:t xml:space="preserve">3.  </w:t>
      </w: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Waarom wordt de actualiteitseis vrijwel altijd te hoog gesteld?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A.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Omdat men niet weet wat mogelijk is.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B.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Omdat niemand het besluitritme erbij heeft betrokken.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C.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Omdat leveranciers het aanraden.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D.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Omdat het niets kost.</w:t>
      </w:r>
    </w:p>
    <w:p>
      <w:pPr>
        <w:spacing w:after="0" w:before="80"/>
        <w:ind w:left="42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Antwoord: ______     Zekerheid:  laag / gemiddeld / hoog</w:t>
      </w:r>
    </w:p>
    <w:p>
      <w:pPr>
        <w:spacing w:after="90" w:before="280"/>
      </w:pPr>
      <w:r>
        <w:rPr>
          <w:rFonts w:ascii="Consolas" w:cs="Consolas" w:eastAsia="Consolas" w:hAnsi="Consolas"/>
          <w:b/>
          <w:bCs/>
          <w:color w:val="3F7D74"/>
          <w:sz w:val="20"/>
          <w:szCs w:val="20"/>
        </w:rPr>
        <w:t xml:space="preserve">4.  </w:t>
      </w: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Welke prioriteringsmethode dwingt het sterkst tot een keuze?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A.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MoSCoW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B.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Waarde tegen inspanning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C.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Gedwongen rangorde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D.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Stemmen met stickers</w:t>
      </w:r>
    </w:p>
    <w:p>
      <w:pPr>
        <w:spacing w:after="0" w:before="80"/>
        <w:ind w:left="42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Antwoord: ______     Zekerheid:  laag / gemiddeld / hoog</w:t>
      </w:r>
    </w:p>
    <w:p>
      <w:pPr>
        <w:spacing w:after="90" w:before="280"/>
      </w:pPr>
      <w:r>
        <w:rPr>
          <w:rFonts w:ascii="Consolas" w:cs="Consolas" w:eastAsia="Consolas" w:hAnsi="Consolas"/>
          <w:b/>
          <w:bCs/>
          <w:color w:val="3F7D74"/>
          <w:sz w:val="20"/>
          <w:szCs w:val="20"/>
        </w:rPr>
        <w:t xml:space="preserve">5.  </w:t>
      </w: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Wat is de valkuil van MoSCoW?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A.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Het is te ingewikkeld.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B.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Alles wordt Must, tenzij je een limiet op het aantal Musts stelt.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C.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Het houdt geen rekening met inspanning.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D.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Het is niet bekend bij bestuurders.</w:t>
      </w:r>
    </w:p>
    <w:p>
      <w:pPr>
        <w:spacing w:after="0" w:before="80"/>
        <w:ind w:left="42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Antwoord: ______     Zekerheid:  laag / gemiddeld / hoog</w:t>
      </w:r>
    </w:p>
    <w:p>
      <w:pPr>
        <w:spacing w:after="90" w:before="280"/>
      </w:pPr>
      <w:r>
        <w:rPr>
          <w:rFonts w:ascii="Consolas" w:cs="Consolas" w:eastAsia="Consolas" w:hAnsi="Consolas"/>
          <w:b/>
          <w:bCs/>
          <w:color w:val="3F7D74"/>
          <w:sz w:val="20"/>
          <w:szCs w:val="20"/>
        </w:rPr>
        <w:t xml:space="preserve">6.  </w:t>
      </w: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Welk stakeholderkwadrant is het gevaarlijkst voor je voorstel?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A.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Hoge invloed, hoog belang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B.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Hoge invloed, laag belang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C.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Lage invloed, hoog belang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D.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Lage invloed, laag belang</w:t>
      </w:r>
    </w:p>
    <w:p>
      <w:pPr>
        <w:spacing w:after="0" w:before="80"/>
        <w:ind w:left="42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Antwoord: ______     Zekerheid:  laag / gemiddeld / hoog</w:t>
      </w:r>
    </w:p>
    <w:p>
      <w:pPr>
        <w:spacing w:after="90" w:before="280"/>
      </w:pPr>
      <w:r>
        <w:rPr>
          <w:rFonts w:ascii="Consolas" w:cs="Consolas" w:eastAsia="Consolas" w:hAnsi="Consolas"/>
          <w:b/>
          <w:bCs/>
          <w:color w:val="3F7D74"/>
          <w:sz w:val="20"/>
          <w:szCs w:val="20"/>
        </w:rPr>
        <w:t xml:space="preserve">7.  </w:t>
      </w: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"Hier gaat IT over" — waar duidt die reactie op?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A.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Op technische complexiteit.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B.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Op onduidelijke besluitrechten.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C.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Op gebrek aan capaciteit.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D.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Op onwil.</w:t>
      </w:r>
    </w:p>
    <w:p>
      <w:pPr>
        <w:spacing w:after="0" w:before="80"/>
        <w:ind w:left="42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Antwoord: ______     Zekerheid:  laag / gemiddeld / hoog</w:t>
      </w:r>
    </w:p>
    <w:p>
      <w:pPr>
        <w:spacing w:after="90" w:before="280"/>
      </w:pPr>
      <w:r>
        <w:rPr>
          <w:rFonts w:ascii="Consolas" w:cs="Consolas" w:eastAsia="Consolas" w:hAnsi="Consolas"/>
          <w:b/>
          <w:bCs/>
          <w:color w:val="3F7D74"/>
          <w:sz w:val="20"/>
          <w:szCs w:val="20"/>
        </w:rPr>
        <w:t xml:space="preserve">8.  </w:t>
      </w: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Waarom laat je deelnemers in een workshop eerst individueel opschrijven?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A.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Het gaat sneller.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B.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Anders bepaalt de eerste spreker de uitkomst.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C.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Het is een AVG-eis.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D.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Om de notulen te vullen.</w:t>
      </w:r>
    </w:p>
    <w:p>
      <w:pPr>
        <w:spacing w:after="0" w:before="80"/>
        <w:ind w:left="42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Antwoord: ______     Zekerheid:  laag / gemiddeld / hoog</w:t>
      </w:r>
    </w:p>
    <w:p>
      <w:pPr>
        <w:spacing w:after="90" w:before="280"/>
      </w:pPr>
      <w:r>
        <w:rPr>
          <w:rFonts w:ascii="Consolas" w:cs="Consolas" w:eastAsia="Consolas" w:hAnsi="Consolas"/>
          <w:b/>
          <w:bCs/>
          <w:color w:val="3F7D74"/>
          <w:sz w:val="20"/>
          <w:szCs w:val="20"/>
        </w:rPr>
        <w:t xml:space="preserve">9.  </w:t>
      </w: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Wat is de valkuil van de facilitator die het antwoord al weet?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A.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Hij praat te veel.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B.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Hij stuurt terwijl hij faciliteert — en verliest de zaal zodra iemand dat doorheeft.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C.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Hij nodigt de verkeerde mensen uit.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D.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Hij houdt de tijd niet bij.</w:t>
      </w:r>
    </w:p>
    <w:p>
      <w:pPr>
        <w:spacing w:after="0" w:before="80"/>
        <w:ind w:left="42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Antwoord: ______     Zekerheid:  laag / gemiddeld / hoog</w:t>
      </w:r>
    </w:p>
    <w:p>
      <w:pPr>
        <w:spacing w:after="90" w:before="280"/>
      </w:pPr>
      <w:r>
        <w:rPr>
          <w:rFonts w:ascii="Consolas" w:cs="Consolas" w:eastAsia="Consolas" w:hAnsi="Consolas"/>
          <w:b/>
          <w:bCs/>
          <w:color w:val="3F7D74"/>
          <w:sz w:val="20"/>
          <w:szCs w:val="20"/>
        </w:rPr>
        <w:t xml:space="preserve">10.  </w:t>
      </w: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Welk blok wordt in een advies vrijwel altijd weggelaten en is het krachtigst?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A.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De situatie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B.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De onderbouwing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C.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Wat er gebeurt bij nee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D.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De methode</w:t>
      </w:r>
    </w:p>
    <w:p>
      <w:pPr>
        <w:spacing w:after="0" w:before="80"/>
        <w:ind w:left="42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Antwoord: ______     Zekerheid:  laag / gemiddeld / hoog</w:t>
      </w:r>
    </w:p>
    <w:p>
      <w:pPr>
        <w:spacing w:after="90" w:before="280"/>
      </w:pPr>
      <w:r>
        <w:rPr>
          <w:rFonts w:ascii="Consolas" w:cs="Consolas" w:eastAsia="Consolas" w:hAnsi="Consolas"/>
          <w:b/>
          <w:bCs/>
          <w:color w:val="3F7D74"/>
          <w:sz w:val="20"/>
          <w:szCs w:val="20"/>
        </w:rPr>
        <w:t xml:space="preserve">11.  </w:t>
      </w: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Wat is de beste vraag aan een leverancier tijdens een selectie?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A.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Wat kost het?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B.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Welke klant is bij u vertrokken, en waarom?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C.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Hoeveel functies heeft het?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D.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Wie zijn uw referenties?</w:t>
      </w:r>
    </w:p>
    <w:p>
      <w:pPr>
        <w:spacing w:after="0" w:before="80"/>
        <w:ind w:left="42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Antwoord: ______     Zekerheid:  laag / gemiddeld / hoog</w:t>
      </w:r>
    </w:p>
    <w:p>
      <w:pPr>
        <w:spacing w:after="90" w:before="280"/>
      </w:pPr>
      <w:r>
        <w:rPr>
          <w:rFonts w:ascii="Consolas" w:cs="Consolas" w:eastAsia="Consolas" w:hAnsi="Consolas"/>
          <w:b/>
          <w:bCs/>
          <w:color w:val="3F7D74"/>
          <w:sz w:val="20"/>
          <w:szCs w:val="20"/>
        </w:rPr>
        <w:t xml:space="preserve">12.  </w:t>
      </w: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Je advies wordt niet overgenomen. Wanneer escaleer je?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A.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Altijd, dat is je verantwoordelijkheid.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B.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Nooit, de opdrachtgever beslist.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C.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Alleen bij een grens, zoals een verwerking zonder grondslag — niet bij een verschil van inzicht.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D.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Als de business case klopt.</w:t>
      </w:r>
    </w:p>
    <w:p>
      <w:pPr>
        <w:spacing w:after="0" w:before="80"/>
        <w:ind w:left="42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Antwoord: ______     Zekerheid:  laag / gemiddeld / hoog</w:t>
      </w:r>
    </w:p>
    <w:p>
      <w:r>
        <w:br w:type="page"/>
      </w:r>
    </w:p>
    <w:p>
      <w:pPr>
        <w:pStyle w:val="Heading1"/>
        <w:spacing w:after="200" w:before="420"/>
      </w:pPr>
      <w:r>
        <w:rPr>
          <w:rFonts w:ascii="Cambria" w:cs="Cambria" w:eastAsia="Cambria" w:hAnsi="Cambria"/>
          <w:b/>
          <w:bCs/>
          <w:color w:val="1B4A48"/>
          <w:sz w:val="34"/>
          <w:szCs w:val="34"/>
        </w:rPr>
        <w:t xml:space="preserve">Reflectie</w:t>
      </w:r>
    </w:p>
    <w:p>
      <w:pPr>
        <w:spacing w:after="140" w:line="288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Rond het deel af met drie korte antwoorden. Bewaar ze — je hebt ze nodig bij de capstone van dit niveau.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3F7D74"/>
          <w:sz w:val="22"/>
          <w:szCs w:val="22"/>
        </w:rPr>
        <w:t xml:space="preserve">Welke stakeholder met hoge invloed en laag belang heb jij weleens overgeslagen?</w:t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0"/>
      </w:tblGrid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3F7D74"/>
          <w:sz w:val="22"/>
          <w:szCs w:val="22"/>
        </w:rPr>
        <w:t xml:space="preserve">Welke business case heb je gebouwd op de verkeerde grootheid?</w:t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0"/>
      </w:tblGrid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3F7D74"/>
          <w:sz w:val="22"/>
          <w:szCs w:val="22"/>
        </w:rPr>
        <w:t xml:space="preserve">Wanneer heb jij in een workshop gestuurd zonder dat te benoemen?</w:t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0"/>
      </w:tblGrid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3CE" w:sz="4"/>
      </w:pBdr>
      <w:spacing w:before="120"/>
      <w:jc w:val="right"/>
    </w:pPr>
    <w:r>
      <w:rPr>
        <w:rFonts w:ascii="Calibri" w:cs="Calibri" w:eastAsia="Calibri" w:hAnsi="Calibri"/>
        <w:color w:val="5F7375"/>
        <w:sz w:val="15"/>
        <w:szCs w:val="15"/>
      </w:rPr>
      <w:t xml:space="preserve">Ductus B.V.  ·  Deel 19 — Van analyse naar advies  ·  </w:t>
    </w:r>
    <w:r>
      <w:rPr>
        <w:rFonts w:ascii="Calibri" w:cs="Calibri" w:eastAsia="Calibri" w:hAnsi="Calibri"/>
        <w:color w:val="5F7375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00" w:hanging="220"/>
      </w:pPr>
      <w:rPr>
        <w:color w:val="3F7D74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20"/>
      </w:pPr>
      <w:rPr>
        <w:b/>
        <w:bCs/>
        <w:color w:val="3F7D7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Van analyse naar advies — Werkboek</dc:title>
  <dc:creator>Ductus B.V.</dc:creator>
  <dc:description>Cursusmateriaal datamanagement, data-analyse en data governance</dc:description>
  <cp:lastModifiedBy>Un-named</cp:lastModifiedBy>
  <cp:revision>1</cp:revision>
  <dcterms:created xsi:type="dcterms:W3CDTF">2026-08-05T12:05:56.669Z</dcterms:created>
  <dcterms:modified xsi:type="dcterms:W3CDTF">2026-08-05T12:05:56.669Z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