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20</w:t>
      </w:r>
    </w:p>
    <w:p>
      <w:pPr>
        <w:spacing w:after="120"/>
      </w:pPr>
      <w:r>
        <w:rPr>
          <w:rFonts w:ascii="Cambria" w:cs="Cambria" w:eastAsia="Cambria" w:hAnsi="Cambria"/>
          <w:b/>
          <w:bCs/>
          <w:color w:val="0E1A1C"/>
          <w:sz w:val="56"/>
          <w:szCs w:val="56"/>
        </w:rPr>
        <w:t xml:space="preserve">Examentraining Practitioner en CBDA</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Proefexamen specialist, CBDA-oefenvragen, scoreformulieren per schema</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20 gelezen; delen 11 tot en met 19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met het scorerapport van het Fundamentals-examen of de proefexamenscores uit deel 9. Vraag bij binnenkomst wie het echte examen al heeft gedaan; die groep heeft een ander gesprek nodig dan de rest.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Een proefexamen per specialisme voor opdracht 3 — minimaal voor Data Governance en Data Quality, de twee meest gekozen. Bouw ze dieper op één gebied dan het Fundamentals-proefexamen, met minder letterlijk opzoekbare antwoorden.</w:t>
      </w:r>
    </w:p>
    <w:p>
      <w:pPr>
        <w:pStyle w:val="ListParagraph"/>
        <w:numPr>
          <w:ilvl w:val="0"/>
          <w:numId w:val="2"/>
        </w:numPr>
        <w:spacing w:after="70" w:line="280"/>
      </w:pPr>
      <w:r>
        <w:rPr>
          <w:rFonts w:ascii="Calibri" w:cs="Calibri" w:eastAsia="Calibri" w:hAnsi="Calibri"/>
          <w:color w:val="0E1A1C"/>
          <w:sz w:val="21"/>
          <w:szCs w:val="21"/>
        </w:rPr>
        <w:t xml:space="preserve">Veertig CBDA-scenariovragen voor opdracht 4, verdeeld over de zes domeinen, met scenario’s van vier tot zes regels. Gesloten boek.</w:t>
      </w:r>
    </w:p>
    <w:p>
      <w:pPr>
        <w:pStyle w:val="ListParagraph"/>
        <w:numPr>
          <w:ilvl w:val="0"/>
          <w:numId w:val="2"/>
        </w:numPr>
        <w:spacing w:after="70" w:line="280"/>
      </w:pPr>
      <w:r>
        <w:rPr>
          <w:rFonts w:ascii="Calibri" w:cs="Calibri" w:eastAsia="Calibri" w:hAnsi="Calibri"/>
          <w:color w:val="0E1A1C"/>
          <w:sz w:val="21"/>
          <w:szCs w:val="21"/>
        </w:rPr>
        <w:t xml:space="preserve">Scoreformulieren per schema: per kennisgebied voor het specialistexamen, per domein voor de CBDA.</w:t>
      </w:r>
    </w:p>
    <w:p>
      <w:pPr>
        <w:pStyle w:val="ListParagraph"/>
        <w:numPr>
          <w:ilvl w:val="0"/>
          <w:numId w:val="2"/>
        </w:numPr>
        <w:spacing w:after="70" w:line="280"/>
      </w:pPr>
      <w:r>
        <w:rPr>
          <w:rFonts w:ascii="Calibri" w:cs="Calibri" w:eastAsia="Calibri" w:hAnsi="Calibri"/>
          <w:color w:val="0E1A1C"/>
          <w:sz w:val="21"/>
          <w:szCs w:val="21"/>
        </w:rPr>
        <w:t xml:space="preserve">Een lijst met de actuele specialistexamens van DAMA, uitgeprint op de ochtend zelf — die lijst wijzigt.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deel voegt geen stof toe. Het brengt twee examentrajecten samen die inhoudelijk nauwelijks overlappen en organisatorisch met elkaar botsen. De uitkomst is een planning en een go/no-go per examen. Deel 21 is de capstone; het portfoliostuk daaruit voedt het ervaringsdossier dat in dit deel wordt opgezet en dat bij Master in niveau 3 wordt beoordeeld.</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twee schema’s, twee logica’s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wie beide dit jaar wil halen en laat dat aan het eind heroverwegen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Specialistkeuze en de acht punten,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de actuele DAMA-lijst uit; hij wijkt regelmatig af</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proefexamen specialist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Echte condities, open boek, eigen DMBOK</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CBDA-scenariovragen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Gesloten boek; neem de boeken van tafel</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3:10–3:55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afleiders ontleden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oefening zonder opties is de kern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3:55–4:00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en 7 uitzetten met concrete data</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Specialistkeuze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Scores per gebied naast de verwachte opdrachten gezet.</w:t>
      </w:r>
    </w:p>
    <w:p>
      <w:pPr>
        <w:pStyle w:val="ListParagraph"/>
        <w:numPr>
          <w:ilvl w:val="0"/>
          <w:numId w:val="2"/>
        </w:numPr>
        <w:spacing w:after="70" w:line="280"/>
      </w:pPr>
      <w:r>
        <w:rPr>
          <w:rFonts w:ascii="Calibri" w:cs="Calibri" w:eastAsia="Calibri" w:hAnsi="Calibri"/>
          <w:color w:val="0E1A1C"/>
          <w:sz w:val="21"/>
          <w:szCs w:val="21"/>
        </w:rPr>
        <w:t xml:space="preserve">De actuele DAMA-lijst gecontroleerd, met vermelding of hij afwijkt.</w:t>
      </w:r>
    </w:p>
    <w:p>
      <w:pPr>
        <w:pStyle w:val="ListParagraph"/>
        <w:numPr>
          <w:ilvl w:val="0"/>
          <w:numId w:val="2"/>
        </w:numPr>
        <w:spacing w:after="70" w:line="280"/>
      </w:pPr>
      <w:r>
        <w:rPr>
          <w:rFonts w:ascii="Calibri" w:cs="Calibri" w:eastAsia="Calibri" w:hAnsi="Calibri"/>
          <w:color w:val="0E1A1C"/>
          <w:sz w:val="21"/>
          <w:szCs w:val="21"/>
        </w:rPr>
        <w:t xml:space="preserve">Data Governance als eerste keuze bij consultants, met een tweede die de eigen praktijk volgt.</w:t>
      </w:r>
    </w:p>
    <w:p>
      <w:pPr>
        <w:pStyle w:val="ListParagraph"/>
        <w:numPr>
          <w:ilvl w:val="0"/>
          <w:numId w:val="2"/>
        </w:numPr>
        <w:spacing w:after="70" w:line="280"/>
      </w:pPr>
      <w:r>
        <w:rPr>
          <w:rFonts w:ascii="Calibri" w:cs="Calibri" w:eastAsia="Calibri" w:hAnsi="Calibri"/>
          <w:color w:val="0E1A1C"/>
          <w:sz w:val="21"/>
          <w:szCs w:val="21"/>
        </w:rPr>
        <w:t xml:space="preserve">Drie afwijzingen met één zin per stuk.</w:t>
      </w:r>
    </w:p>
    <w:p>
      <w:pPr>
        <w:pStyle w:val="ListParagraph"/>
        <w:numPr>
          <w:ilvl w:val="0"/>
          <w:numId w:val="2"/>
        </w:numPr>
        <w:spacing w:after="70" w:line="280"/>
      </w:pPr>
      <w:r>
        <w:rPr>
          <w:rFonts w:ascii="Calibri" w:cs="Calibri" w:eastAsia="Calibri" w:hAnsi="Calibri"/>
          <w:color w:val="0E1A1C"/>
          <w:sz w:val="21"/>
          <w:szCs w:val="21"/>
        </w:rPr>
        <w:t xml:space="preserve">Overlap beoordeeld: Quality en Master Data delen meer dan Governance en Metadata.</w:t>
      </w:r>
    </w:p>
    <w:p>
      <w:pPr>
        <w:pStyle w:val="ListParagraph"/>
        <w:numPr>
          <w:ilvl w:val="0"/>
          <w:numId w:val="2"/>
        </w:numPr>
        <w:spacing w:after="70" w:line="280"/>
      </w:pPr>
      <w:r>
        <w:rPr>
          <w:rFonts w:ascii="Calibri" w:cs="Calibri" w:eastAsia="Calibri" w:hAnsi="Calibri"/>
          <w:color w:val="0E1A1C"/>
          <w:sz w:val="21"/>
          <w:szCs w:val="21"/>
        </w:rPr>
        <w:t xml:space="preserve">Een volgorde met argument, doorgaans het sterkste gebied eerst.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Kiezen op interesse zonder naar het scorerapport te kijken.</w:t>
      </w:r>
    </w:p>
    <w:p>
      <w:pPr>
        <w:pStyle w:val="ListParagraph"/>
        <w:numPr>
          <w:ilvl w:val="0"/>
          <w:numId w:val="2"/>
        </w:numPr>
        <w:spacing w:after="70" w:line="280"/>
      </w:pPr>
      <w:r>
        <w:rPr>
          <w:rFonts w:ascii="Calibri" w:cs="Calibri" w:eastAsia="Calibri" w:hAnsi="Calibri"/>
          <w:color w:val="0E1A1C"/>
          <w:sz w:val="21"/>
          <w:szCs w:val="21"/>
        </w:rPr>
        <w:t xml:space="preserve">Twee sterk overlappende gebieden kiezen zonder dat te benoemen.</w:t>
      </w:r>
    </w:p>
    <w:p>
      <w:pPr>
        <w:pStyle w:val="ListParagraph"/>
        <w:numPr>
          <w:ilvl w:val="0"/>
          <w:numId w:val="2"/>
        </w:numPr>
        <w:spacing w:after="70" w:line="280"/>
      </w:pPr>
      <w:r>
        <w:rPr>
          <w:rFonts w:ascii="Calibri" w:cs="Calibri" w:eastAsia="Calibri" w:hAnsi="Calibri"/>
          <w:color w:val="0E1A1C"/>
          <w:sz w:val="21"/>
          <w:szCs w:val="21"/>
        </w:rPr>
        <w:t xml:space="preserve">De actuele lijst niet controleren; hij wijzigt.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specialisme kies je omdat het jou past, en welk omdat de markt erom vraagt?</w:t>
            </w:r>
          </w:p>
        </w:tc>
      </w:tr>
    </w:tbl>
    <w:p>
      <w:pPr>
        <w:pStyle w:val="Heading2"/>
        <w:spacing w:after="140" w:before="340"/>
      </w:pPr>
      <w:r>
        <w:rPr>
          <w:rFonts w:ascii="Cambria" w:cs="Cambria" w:eastAsia="Cambria" w:hAnsi="Cambria"/>
          <w:b/>
          <w:bCs/>
          <w:color w:val="0E1A1C"/>
          <w:sz w:val="26"/>
          <w:szCs w:val="26"/>
        </w:rPr>
        <w:t xml:space="preserve">Opdracht 2 — Van 60 naar 70</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Puntanalyse per gebied met het aantal gemiste vragen.</w:t>
      </w:r>
    </w:p>
    <w:p>
      <w:pPr>
        <w:pStyle w:val="ListParagraph"/>
        <w:numPr>
          <w:ilvl w:val="0"/>
          <w:numId w:val="2"/>
        </w:numPr>
        <w:spacing w:after="70" w:line="280"/>
      </w:pPr>
      <w:r>
        <w:rPr>
          <w:rFonts w:ascii="Calibri" w:cs="Calibri" w:eastAsia="Calibri" w:hAnsi="Calibri"/>
          <w:color w:val="0E1A1C"/>
          <w:sz w:val="21"/>
          <w:szCs w:val="21"/>
        </w:rPr>
        <w:t xml:space="preserve">Foutentypering opnieuw toegepast, met een onderscheid tussen kennis- en leesfouten.</w:t>
      </w:r>
    </w:p>
    <w:p>
      <w:pPr>
        <w:pStyle w:val="ListParagraph"/>
        <w:numPr>
          <w:ilvl w:val="0"/>
          <w:numId w:val="2"/>
        </w:numPr>
        <w:spacing w:after="70" w:line="280"/>
      </w:pPr>
      <w:r>
        <w:rPr>
          <w:rFonts w:ascii="Calibri" w:cs="Calibri" w:eastAsia="Calibri" w:hAnsi="Calibri"/>
          <w:color w:val="0E1A1C"/>
          <w:sz w:val="21"/>
          <w:szCs w:val="21"/>
        </w:rPr>
        <w:t xml:space="preserve">Het aantal punten berekend dat zonder bijstuderen te halen is.</w:t>
      </w:r>
    </w:p>
    <w:p>
      <w:pPr>
        <w:pStyle w:val="ListParagraph"/>
        <w:numPr>
          <w:ilvl w:val="0"/>
          <w:numId w:val="2"/>
        </w:numPr>
        <w:spacing w:after="70" w:line="280"/>
      </w:pPr>
      <w:r>
        <w:rPr>
          <w:rFonts w:ascii="Calibri" w:cs="Calibri" w:eastAsia="Calibri" w:hAnsi="Calibri"/>
          <w:color w:val="0E1A1C"/>
          <w:sz w:val="21"/>
          <w:szCs w:val="21"/>
        </w:rPr>
        <w:t xml:space="preserve">De verwarparen daadwerkelijk getoetst door beide definities op te schrijven.</w:t>
      </w:r>
    </w:p>
    <w:p>
      <w:pPr>
        <w:pStyle w:val="ListParagraph"/>
        <w:numPr>
          <w:ilvl w:val="0"/>
          <w:numId w:val="2"/>
        </w:numPr>
        <w:spacing w:after="70" w:line="280"/>
      </w:pPr>
      <w:r>
        <w:rPr>
          <w:rFonts w:ascii="Calibri" w:cs="Calibri" w:eastAsia="Calibri" w:hAnsi="Calibri"/>
          <w:color w:val="0E1A1C"/>
          <w:sz w:val="21"/>
          <w:szCs w:val="21"/>
        </w:rPr>
        <w:t xml:space="preserve">Een volgorde die begint bij tempo en lezen.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Meteen concluderen dat er meer gestudeerd moet worden. Kijk eerst naar het foutentype.</w:t>
      </w:r>
    </w:p>
    <w:p>
      <w:pPr>
        <w:pStyle w:val="ListParagraph"/>
        <w:numPr>
          <w:ilvl w:val="0"/>
          <w:numId w:val="2"/>
        </w:numPr>
        <w:spacing w:after="70" w:line="280"/>
      </w:pPr>
      <w:r>
        <w:rPr>
          <w:rFonts w:ascii="Calibri" w:cs="Calibri" w:eastAsia="Calibri" w:hAnsi="Calibri"/>
          <w:color w:val="0E1A1C"/>
          <w:sz w:val="21"/>
          <w:szCs w:val="21"/>
        </w:rPr>
        <w:t xml:space="preserve">De verwarparen alleen herkennen in plaats van produceren.</w:t>
      </w:r>
    </w:p>
    <w:p>
      <w:pPr>
        <w:pStyle w:val="ListParagraph"/>
        <w:numPr>
          <w:ilvl w:val="0"/>
          <w:numId w:val="2"/>
        </w:numPr>
        <w:spacing w:after="70" w:line="280"/>
      </w:pPr>
      <w:r>
        <w:rPr>
          <w:rFonts w:ascii="Calibri" w:cs="Calibri" w:eastAsia="Calibri" w:hAnsi="Calibri"/>
          <w:color w:val="0E1A1C"/>
          <w:sz w:val="21"/>
          <w:szCs w:val="21"/>
        </w:rPr>
        <w:t xml:space="preserve">Alle gebieden even zwaar behandelen in het plan.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van jouw acht punten haal je op zonder één woord bij te studeren?</w:t>
            </w:r>
          </w:p>
        </w:tc>
      </w:tr>
    </w:tbl>
    <w:p>
      <w:pPr>
        <w:pStyle w:val="Heading2"/>
        <w:spacing w:after="140" w:before="340"/>
      </w:pPr>
      <w:r>
        <w:rPr>
          <w:rFonts w:ascii="Cambria" w:cs="Cambria" w:eastAsia="Cambria" w:hAnsi="Cambria"/>
          <w:b/>
          <w:bCs/>
          <w:color w:val="0E1A1C"/>
          <w:sz w:val="26"/>
          <w:szCs w:val="26"/>
        </w:rPr>
        <w:t xml:space="preserve">Opdracht 3 — Proefexamen specialist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vragen ingevuld, ook de gegokte.</w:t>
      </w:r>
    </w:p>
    <w:p>
      <w:pPr>
        <w:pStyle w:val="ListParagraph"/>
        <w:numPr>
          <w:ilvl w:val="0"/>
          <w:numId w:val="2"/>
        </w:numPr>
        <w:spacing w:after="70" w:line="280"/>
      </w:pPr>
      <w:r>
        <w:rPr>
          <w:rFonts w:ascii="Calibri" w:cs="Calibri" w:eastAsia="Calibri" w:hAnsi="Calibri"/>
          <w:color w:val="0E1A1C"/>
          <w:sz w:val="21"/>
          <w:szCs w:val="21"/>
        </w:rPr>
        <w:t xml:space="preserve">Minder opzoekmomenten dan bij Fundamentals — het inzicht dat een specialistexamen dieper gaat en minder letterlijk opzoekbaar is.</w:t>
      </w:r>
    </w:p>
    <w:p>
      <w:pPr>
        <w:pStyle w:val="ListParagraph"/>
        <w:numPr>
          <w:ilvl w:val="0"/>
          <w:numId w:val="2"/>
        </w:numPr>
        <w:spacing w:after="70" w:line="280"/>
      </w:pPr>
      <w:r>
        <w:rPr>
          <w:rFonts w:ascii="Calibri" w:cs="Calibri" w:eastAsia="Calibri" w:hAnsi="Calibri"/>
          <w:color w:val="0E1A1C"/>
          <w:sz w:val="21"/>
          <w:szCs w:val="21"/>
        </w:rPr>
        <w:t xml:space="preserve">Een vooraf bepaald tijdsijkpunt, en de tussentijd daadwerkelijk bijgehouden.</w:t>
      </w:r>
    </w:p>
    <w:p>
      <w:pPr>
        <w:pStyle w:val="ListParagraph"/>
        <w:numPr>
          <w:ilvl w:val="0"/>
          <w:numId w:val="2"/>
        </w:numPr>
        <w:spacing w:after="70" w:line="280"/>
      </w:pPr>
      <w:r>
        <w:rPr>
          <w:rFonts w:ascii="Calibri" w:cs="Calibri" w:eastAsia="Calibri" w:hAnsi="Calibri"/>
          <w:color w:val="0E1A1C"/>
          <w:sz w:val="21"/>
          <w:szCs w:val="21"/>
        </w:rPr>
        <w:t xml:space="preserve">Foutentypering na afloop.</w:t>
      </w:r>
    </w:p>
    <w:p>
      <w:pPr>
        <w:pStyle w:val="ListParagraph"/>
        <w:numPr>
          <w:ilvl w:val="0"/>
          <w:numId w:val="2"/>
        </w:numPr>
        <w:spacing w:after="70" w:line="280"/>
      </w:pPr>
      <w:r>
        <w:rPr>
          <w:rFonts w:ascii="Calibri" w:cs="Calibri" w:eastAsia="Calibri" w:hAnsi="Calibri"/>
          <w:color w:val="0E1A1C"/>
          <w:sz w:val="21"/>
          <w:szCs w:val="21"/>
        </w:rPr>
        <w:t xml:space="preserve">Een concreet aantal ontbrekende vragen tot 70 procent.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Dezelfde opzoekstrategie als bij Fundamentals. Vraag hoe vaak het antwoord letterlijk in het boek stond.</w:t>
      </w:r>
    </w:p>
    <w:p>
      <w:pPr>
        <w:pStyle w:val="ListParagraph"/>
        <w:numPr>
          <w:ilvl w:val="0"/>
          <w:numId w:val="2"/>
        </w:numPr>
        <w:spacing w:after="70" w:line="280"/>
      </w:pPr>
      <w:r>
        <w:rPr>
          <w:rFonts w:ascii="Calibri" w:cs="Calibri" w:eastAsia="Calibri" w:hAnsi="Calibri"/>
          <w:color w:val="0E1A1C"/>
          <w:sz w:val="21"/>
          <w:szCs w:val="21"/>
        </w:rPr>
        <w:t xml:space="preserve">Vragen openlaten.</w:t>
      </w:r>
    </w:p>
    <w:p>
      <w:pPr>
        <w:pStyle w:val="ListParagraph"/>
        <w:numPr>
          <w:ilvl w:val="0"/>
          <w:numId w:val="2"/>
        </w:numPr>
        <w:spacing w:after="70" w:line="280"/>
      </w:pPr>
      <w:r>
        <w:rPr>
          <w:rFonts w:ascii="Calibri" w:cs="Calibri" w:eastAsia="Calibri" w:hAnsi="Calibri"/>
          <w:color w:val="0E1A1C"/>
          <w:sz w:val="21"/>
          <w:szCs w:val="21"/>
        </w:rPr>
        <w:t xml:space="preserve">Alleen op het totaal kijken zonder foutentypering.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vaak stond het antwoord letterlijk in het boek? En wat betekent dat voor je voorbereiding?</w:t>
            </w:r>
          </w:p>
        </w:tc>
      </w:tr>
    </w:tbl>
    <w:p>
      <w:pPr>
        <w:pStyle w:val="Heading2"/>
        <w:spacing w:after="140" w:before="340"/>
      </w:pPr>
      <w:r>
        <w:rPr>
          <w:rFonts w:ascii="Cambria" w:cs="Cambria" w:eastAsia="Cambria" w:hAnsi="Cambria"/>
          <w:b/>
          <w:bCs/>
          <w:color w:val="0E1A1C"/>
          <w:sz w:val="26"/>
          <w:szCs w:val="26"/>
        </w:rPr>
        <w:t xml:space="preserve">Opdracht 4 — CBDA-scenariovragen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Gesloten boek daadwerkelijk aangehouden.</w:t>
      </w:r>
    </w:p>
    <w:p>
      <w:pPr>
        <w:pStyle w:val="ListParagraph"/>
        <w:numPr>
          <w:ilvl w:val="0"/>
          <w:numId w:val="2"/>
        </w:numPr>
        <w:spacing w:after="70" w:line="280"/>
      </w:pPr>
      <w:r>
        <w:rPr>
          <w:rFonts w:ascii="Calibri" w:cs="Calibri" w:eastAsia="Calibri" w:hAnsi="Calibri"/>
          <w:color w:val="0E1A1C"/>
          <w:sz w:val="21"/>
          <w:szCs w:val="21"/>
        </w:rPr>
        <w:t xml:space="preserve">Per vraag het domein herkend vóór het lezen van de opties.</w:t>
      </w:r>
    </w:p>
    <w:p>
      <w:pPr>
        <w:pStyle w:val="ListParagraph"/>
        <w:numPr>
          <w:ilvl w:val="0"/>
          <w:numId w:val="2"/>
        </w:numPr>
        <w:spacing w:after="70" w:line="280"/>
      </w:pPr>
      <w:r>
        <w:rPr>
          <w:rFonts w:ascii="Calibri" w:cs="Calibri" w:eastAsia="Calibri" w:hAnsi="Calibri"/>
          <w:color w:val="0E1A1C"/>
          <w:sz w:val="21"/>
          <w:szCs w:val="21"/>
        </w:rPr>
        <w:t xml:space="preserve">Tussentijd bij vraag twintig rond de tweeëndertig minuten.</w:t>
      </w:r>
    </w:p>
    <w:p>
      <w:pPr>
        <w:pStyle w:val="ListParagraph"/>
        <w:numPr>
          <w:ilvl w:val="0"/>
          <w:numId w:val="2"/>
        </w:numPr>
        <w:spacing w:after="70" w:line="280"/>
      </w:pPr>
      <w:r>
        <w:rPr>
          <w:rFonts w:ascii="Calibri" w:cs="Calibri" w:eastAsia="Calibri" w:hAnsi="Calibri"/>
          <w:color w:val="0E1A1C"/>
          <w:sz w:val="21"/>
          <w:szCs w:val="21"/>
        </w:rPr>
        <w:t xml:space="preserve">Score per domein, niet alleen totaal.</w:t>
      </w:r>
    </w:p>
    <w:p>
      <w:pPr>
        <w:pStyle w:val="ListParagraph"/>
        <w:numPr>
          <w:ilvl w:val="0"/>
          <w:numId w:val="2"/>
        </w:numPr>
        <w:spacing w:after="70" w:line="280"/>
      </w:pPr>
      <w:r>
        <w:rPr>
          <w:rFonts w:ascii="Calibri" w:cs="Calibri" w:eastAsia="Calibri" w:hAnsi="Calibri"/>
          <w:color w:val="0E1A1C"/>
          <w:sz w:val="21"/>
          <w:szCs w:val="21"/>
        </w:rPr>
        <w:t xml:space="preserve">Domein 1 of 2 als zwakste, met de erkenning dat dat verrassend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DMBOK erbij houden. Neem de boeken fysiek van tafel.</w:t>
      </w:r>
    </w:p>
    <w:p>
      <w:pPr>
        <w:pStyle w:val="ListParagraph"/>
        <w:numPr>
          <w:ilvl w:val="0"/>
          <w:numId w:val="2"/>
        </w:numPr>
        <w:spacing w:after="70" w:line="280"/>
      </w:pPr>
      <w:r>
        <w:rPr>
          <w:rFonts w:ascii="Calibri" w:cs="Calibri" w:eastAsia="Calibri" w:hAnsi="Calibri"/>
          <w:color w:val="0E1A1C"/>
          <w:sz w:val="21"/>
          <w:szCs w:val="21"/>
        </w:rPr>
        <w:t xml:space="preserve">Het domein pas bepalen na het lezen van de opties. Dat kost de eliminatiewinst.</w:t>
      </w:r>
    </w:p>
    <w:p>
      <w:pPr>
        <w:pStyle w:val="ListParagraph"/>
        <w:numPr>
          <w:ilvl w:val="0"/>
          <w:numId w:val="2"/>
        </w:numPr>
        <w:spacing w:after="70" w:line="280"/>
      </w:pPr>
      <w:r>
        <w:rPr>
          <w:rFonts w:ascii="Calibri" w:cs="Calibri" w:eastAsia="Calibri" w:hAnsi="Calibri"/>
          <w:color w:val="0E1A1C"/>
          <w:sz w:val="21"/>
          <w:szCs w:val="21"/>
        </w:rPr>
        <w:t xml:space="preserve">Alleen totaal scoren; de domeinuitsplitsing stuurt het studieplan.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domein was je zwakste? En had je dat verwacht?</w:t>
            </w:r>
          </w:p>
        </w:tc>
      </w:tr>
    </w:tbl>
    <w:p>
      <w:pPr>
        <w:pStyle w:val="Heading2"/>
        <w:spacing w:after="140" w:before="340"/>
      </w:pPr>
      <w:r>
        <w:rPr>
          <w:rFonts w:ascii="Cambria" w:cs="Cambria" w:eastAsia="Cambria" w:hAnsi="Cambria"/>
          <w:b/>
          <w:bCs/>
          <w:color w:val="0E1A1C"/>
          <w:sz w:val="26"/>
          <w:szCs w:val="26"/>
        </w:rPr>
        <w:t xml:space="preserve">Opdracht 5 — Scenariovragen ontleden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Tien vragen getypeerd op afleiderpatroon.</w:t>
      </w:r>
    </w:p>
    <w:p>
      <w:pPr>
        <w:pStyle w:val="ListParagraph"/>
        <w:numPr>
          <w:ilvl w:val="0"/>
          <w:numId w:val="2"/>
        </w:numPr>
        <w:spacing w:after="70" w:line="280"/>
      </w:pPr>
      <w:r>
        <w:rPr>
          <w:rFonts w:ascii="Calibri" w:cs="Calibri" w:eastAsia="Calibri" w:hAnsi="Calibri"/>
          <w:color w:val="0E1A1C"/>
          <w:sz w:val="21"/>
          <w:szCs w:val="21"/>
        </w:rPr>
        <w:t xml:space="preserve">Een dominant patroon vastgesteld, bij ervaren deelnemers meestal "te ver vooruit".</w:t>
      </w:r>
    </w:p>
    <w:p>
      <w:pPr>
        <w:pStyle w:val="ListParagraph"/>
        <w:numPr>
          <w:ilvl w:val="0"/>
          <w:numId w:val="2"/>
        </w:numPr>
        <w:spacing w:after="70" w:line="280"/>
      </w:pPr>
      <w:r>
        <w:rPr>
          <w:rFonts w:ascii="Calibri" w:cs="Calibri" w:eastAsia="Calibri" w:hAnsi="Calibri"/>
          <w:color w:val="0E1A1C"/>
          <w:sz w:val="21"/>
          <w:szCs w:val="21"/>
        </w:rPr>
        <w:t xml:space="preserve">Drie vragen teruggebracht tot de laatste zin, met de constatering of het antwoord verandert.</w:t>
      </w:r>
    </w:p>
    <w:p>
      <w:pPr>
        <w:pStyle w:val="ListParagraph"/>
        <w:numPr>
          <w:ilvl w:val="0"/>
          <w:numId w:val="2"/>
        </w:numPr>
        <w:spacing w:after="70" w:line="280"/>
      </w:pPr>
      <w:r>
        <w:rPr>
          <w:rFonts w:ascii="Calibri" w:cs="Calibri" w:eastAsia="Calibri" w:hAnsi="Calibri"/>
          <w:color w:val="0E1A1C"/>
          <w:sz w:val="21"/>
          <w:szCs w:val="21"/>
        </w:rPr>
        <w:t xml:space="preserve">De oefening zonder opties daadwerkelijk gedaan, met een eerlijke uitkomst.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Afleiders benoemen als "fout antwoord" zonder patroon. Het patroon maakt hem herkenbaar bij de volgende vraag.</w:t>
      </w:r>
    </w:p>
    <w:p>
      <w:pPr>
        <w:pStyle w:val="ListParagraph"/>
        <w:numPr>
          <w:ilvl w:val="0"/>
          <w:numId w:val="2"/>
        </w:numPr>
        <w:spacing w:after="70" w:line="280"/>
      </w:pPr>
      <w:r>
        <w:rPr>
          <w:rFonts w:ascii="Calibri" w:cs="Calibri" w:eastAsia="Calibri" w:hAnsi="Calibri"/>
          <w:color w:val="0E1A1C"/>
          <w:sz w:val="21"/>
          <w:szCs w:val="21"/>
        </w:rPr>
        <w:t xml:space="preserve">De oefening zonder opties overslaan omdat het gekunsteld voelt. Juist daar zit het inzicht.</w:t>
      </w:r>
    </w:p>
    <w:p>
      <w:pPr>
        <w:pStyle w:val="ListParagraph"/>
        <w:numPr>
          <w:ilvl w:val="0"/>
          <w:numId w:val="2"/>
        </w:numPr>
        <w:spacing w:after="70" w:line="280"/>
      </w:pPr>
      <w:r>
        <w:rPr>
          <w:rFonts w:ascii="Calibri" w:cs="Calibri" w:eastAsia="Calibri" w:hAnsi="Calibri"/>
          <w:color w:val="0E1A1C"/>
          <w:sz w:val="21"/>
          <w:szCs w:val="21"/>
        </w:rPr>
        <w:t xml:space="preserve">Alleen CBDA-vragen kiezen; neem ook specialistvragen mee.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Veranderde je antwoord toen je alleen de laatste zin las? Wat zegt dat over hoe je scenario’s leest?</w:t>
            </w:r>
          </w:p>
        </w:tc>
      </w:tr>
    </w:tbl>
    <w:p>
      <w:pPr>
        <w:pStyle w:val="Heading2"/>
        <w:spacing w:after="140" w:before="340"/>
      </w:pPr>
      <w:r>
        <w:rPr>
          <w:rFonts w:ascii="Cambria" w:cs="Cambria" w:eastAsia="Cambria" w:hAnsi="Cambria"/>
          <w:b/>
          <w:bCs/>
          <w:color w:val="0E1A1C"/>
          <w:sz w:val="26"/>
          <w:szCs w:val="26"/>
        </w:rPr>
        <w:t xml:space="preserve">Opdracht 6 — Ervaringsdossier opzetten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Opdrachten van drie jaar met periode, organisatie en rol.</w:t>
      </w:r>
    </w:p>
    <w:p>
      <w:pPr>
        <w:pStyle w:val="ListParagraph"/>
        <w:numPr>
          <w:ilvl w:val="0"/>
          <w:numId w:val="2"/>
        </w:numPr>
        <w:spacing w:after="70" w:line="280"/>
      </w:pPr>
      <w:r>
        <w:rPr>
          <w:rFonts w:ascii="Calibri" w:cs="Calibri" w:eastAsia="Calibri" w:hAnsi="Calibri"/>
          <w:color w:val="0E1A1C"/>
          <w:sz w:val="21"/>
          <w:szCs w:val="21"/>
        </w:rPr>
        <w:t xml:space="preserve">Per opdracht minstens één artefact, geanonimiseerd waar nodig.</w:t>
      </w:r>
    </w:p>
    <w:p>
      <w:pPr>
        <w:pStyle w:val="ListParagraph"/>
        <w:numPr>
          <w:ilvl w:val="0"/>
          <w:numId w:val="2"/>
        </w:numPr>
        <w:spacing w:after="70" w:line="280"/>
      </w:pPr>
      <w:r>
        <w:rPr>
          <w:rFonts w:ascii="Calibri" w:cs="Calibri" w:eastAsia="Calibri" w:hAnsi="Calibri"/>
          <w:color w:val="0E1A1C"/>
          <w:sz w:val="21"/>
          <w:szCs w:val="21"/>
        </w:rPr>
        <w:t xml:space="preserve">Per artefact het genomen besluit — dat is wat een beoordelaar zoekt.</w:t>
      </w:r>
    </w:p>
    <w:p>
      <w:pPr>
        <w:pStyle w:val="ListParagraph"/>
        <w:numPr>
          <w:ilvl w:val="0"/>
          <w:numId w:val="2"/>
        </w:numPr>
        <w:spacing w:after="70" w:line="280"/>
      </w:pPr>
      <w:r>
        <w:rPr>
          <w:rFonts w:ascii="Calibri" w:cs="Calibri" w:eastAsia="Calibri" w:hAnsi="Calibri"/>
          <w:color w:val="0E1A1C"/>
          <w:sz w:val="21"/>
          <w:szCs w:val="21"/>
        </w:rPr>
        <w:t xml:space="preserve">Markering van de opdrachten die aansluiten op de gekozen specialismen.</w:t>
      </w:r>
    </w:p>
    <w:p>
      <w:pPr>
        <w:pStyle w:val="ListParagraph"/>
        <w:numPr>
          <w:ilvl w:val="0"/>
          <w:numId w:val="2"/>
        </w:numPr>
        <w:spacing w:after="70" w:line="280"/>
      </w:pPr>
      <w:r>
        <w:rPr>
          <w:rFonts w:ascii="Calibri" w:cs="Calibri" w:eastAsia="Calibri" w:hAnsi="Calibri"/>
          <w:color w:val="0E1A1C"/>
          <w:sz w:val="21"/>
          <w:szCs w:val="21"/>
        </w:rPr>
        <w:t xml:space="preserve">Een eerlijk oordeel over de ervaringseis, ook als het antwoord nog niet is.</w:t>
      </w:r>
    </w:p>
    <w:p>
      <w:pPr>
        <w:pStyle w:val="ListParagraph"/>
        <w:numPr>
          <w:ilvl w:val="0"/>
          <w:numId w:val="2"/>
        </w:numPr>
        <w:spacing w:after="70" w:line="280"/>
      </w:pPr>
      <w:r>
        <w:rPr>
          <w:rFonts w:ascii="Calibri" w:cs="Calibri" w:eastAsia="Calibri" w:hAnsi="Calibri"/>
          <w:color w:val="0E1A1C"/>
          <w:sz w:val="21"/>
          <w:szCs w:val="21"/>
        </w:rPr>
        <w:t xml:space="preserve">Een bijhoudmethode die meelift op bestaand werk in plaats van een aparte administratie te worden.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opsommen wat je hebt gedaan zonder het besluit erbij.</w:t>
      </w:r>
    </w:p>
    <w:p>
      <w:pPr>
        <w:pStyle w:val="ListParagraph"/>
        <w:numPr>
          <w:ilvl w:val="0"/>
          <w:numId w:val="2"/>
        </w:numPr>
        <w:spacing w:after="70" w:line="280"/>
      </w:pPr>
      <w:r>
        <w:rPr>
          <w:rFonts w:ascii="Calibri" w:cs="Calibri" w:eastAsia="Calibri" w:hAnsi="Calibri"/>
          <w:color w:val="0E1A1C"/>
          <w:sz w:val="21"/>
          <w:szCs w:val="21"/>
        </w:rPr>
        <w:t xml:space="preserve">Artefacten verzamelen zonder anonimisering te overwegen. Wijs op deel 17.</w:t>
      </w:r>
    </w:p>
    <w:p>
      <w:pPr>
        <w:pStyle w:val="ListParagraph"/>
        <w:numPr>
          <w:ilvl w:val="0"/>
          <w:numId w:val="2"/>
        </w:numPr>
        <w:spacing w:after="70" w:line="280"/>
      </w:pPr>
      <w:r>
        <w:rPr>
          <w:rFonts w:ascii="Calibri" w:cs="Calibri" w:eastAsia="Calibri" w:hAnsi="Calibri"/>
          <w:color w:val="0E1A1C"/>
          <w:sz w:val="21"/>
          <w:szCs w:val="21"/>
        </w:rPr>
        <w:t xml:space="preserve">Het dossier als eenmalige exercitie behandelen; dan is het over twee jaar weer verouderd.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artefact zou een beoordelaar overtuigen? En welk zou hij terzijde leggen?</w:t>
            </w:r>
          </w:p>
        </w:tc>
      </w:tr>
    </w:tbl>
    <w:p>
      <w:pPr>
        <w:pStyle w:val="Heading2"/>
        <w:spacing w:after="140" w:before="340"/>
      </w:pPr>
      <w:r>
        <w:rPr>
          <w:rFonts w:ascii="Cambria" w:cs="Cambria" w:eastAsia="Cambria" w:hAnsi="Cambria"/>
          <w:b/>
          <w:bCs/>
          <w:color w:val="0E1A1C"/>
          <w:sz w:val="26"/>
          <w:szCs w:val="26"/>
        </w:rPr>
        <w:t xml:space="preserve">Opdracht 7 — Planning en go/no-go</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eigen twaalfwekenschema, aangepast aan de beschikbare tijd.</w:t>
      </w:r>
    </w:p>
    <w:p>
      <w:pPr>
        <w:pStyle w:val="ListParagraph"/>
        <w:numPr>
          <w:ilvl w:val="0"/>
          <w:numId w:val="2"/>
        </w:numPr>
        <w:spacing w:after="70" w:line="280"/>
      </w:pPr>
      <w:r>
        <w:rPr>
          <w:rFonts w:ascii="Calibri" w:cs="Calibri" w:eastAsia="Calibri" w:hAnsi="Calibri"/>
          <w:color w:val="0E1A1C"/>
          <w:sz w:val="21"/>
          <w:szCs w:val="21"/>
        </w:rPr>
        <w:t xml:space="preserve">Concrete data per examen, in de agenda.</w:t>
      </w:r>
    </w:p>
    <w:p>
      <w:pPr>
        <w:pStyle w:val="ListParagraph"/>
        <w:numPr>
          <w:ilvl w:val="0"/>
          <w:numId w:val="2"/>
        </w:numPr>
        <w:spacing w:after="70" w:line="280"/>
      </w:pPr>
      <w:r>
        <w:rPr>
          <w:rFonts w:ascii="Calibri" w:cs="Calibri" w:eastAsia="Calibri" w:hAnsi="Calibri"/>
          <w:color w:val="0E1A1C"/>
          <w:sz w:val="21"/>
          <w:szCs w:val="21"/>
        </w:rPr>
        <w:t xml:space="preserve">Go/no-go-criteria per examen, uitgedrukt in een consistente proefscore.</w:t>
      </w:r>
    </w:p>
    <w:p>
      <w:pPr>
        <w:pStyle w:val="ListParagraph"/>
        <w:numPr>
          <w:ilvl w:val="0"/>
          <w:numId w:val="2"/>
        </w:numPr>
        <w:spacing w:after="70" w:line="280"/>
      </w:pPr>
      <w:r>
        <w:rPr>
          <w:rFonts w:ascii="Calibri" w:cs="Calibri" w:eastAsia="Calibri" w:hAnsi="Calibri"/>
          <w:color w:val="0E1A1C"/>
          <w:sz w:val="21"/>
          <w:szCs w:val="21"/>
        </w:rPr>
        <w:t xml:space="preserve">Een eerlijk oordeel of beide schema’s dit jaar haalbaar zijn.</w:t>
      </w:r>
    </w:p>
    <w:p>
      <w:pPr>
        <w:pStyle w:val="ListParagraph"/>
        <w:numPr>
          <w:ilvl w:val="0"/>
          <w:numId w:val="2"/>
        </w:numPr>
        <w:spacing w:after="70" w:line="280"/>
      </w:pPr>
      <w:r>
        <w:rPr>
          <w:rFonts w:ascii="Calibri" w:cs="Calibri" w:eastAsia="Calibri" w:hAnsi="Calibri"/>
          <w:color w:val="0E1A1C"/>
          <w:sz w:val="21"/>
          <w:szCs w:val="21"/>
        </w:rPr>
        <w:t xml:space="preserve">Logistiek geregeld, inclusief de aanvraag voor extra tijd waar van toepassing.</w:t>
      </w:r>
    </w:p>
    <w:p>
      <w:pPr>
        <w:pStyle w:val="ListParagraph"/>
        <w:numPr>
          <w:ilvl w:val="0"/>
          <w:numId w:val="2"/>
        </w:numPr>
        <w:spacing w:after="70" w:line="280"/>
      </w:pPr>
      <w:r>
        <w:rPr>
          <w:rFonts w:ascii="Calibri" w:cs="Calibri" w:eastAsia="Calibri" w:hAnsi="Calibri"/>
          <w:color w:val="0E1A1C"/>
          <w:sz w:val="21"/>
          <w:szCs w:val="21"/>
        </w:rPr>
        <w:t xml:space="preserve">Hercertificeringsherinneringen alvast gezet.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Beide schema’s tegelijk halveren. Vraag wanneer er dan gestudeerd wordt.</w:t>
      </w:r>
    </w:p>
    <w:p>
      <w:pPr>
        <w:pStyle w:val="ListParagraph"/>
        <w:numPr>
          <w:ilvl w:val="0"/>
          <w:numId w:val="2"/>
        </w:numPr>
        <w:spacing w:after="70" w:line="280"/>
      </w:pPr>
      <w:r>
        <w:rPr>
          <w:rFonts w:ascii="Calibri" w:cs="Calibri" w:eastAsia="Calibri" w:hAnsi="Calibri"/>
          <w:color w:val="0E1A1C"/>
          <w:sz w:val="21"/>
          <w:szCs w:val="21"/>
        </w:rPr>
        <w:t xml:space="preserve">Data openlaten. Zonder datum verdwijnt het examen uit de agenda.</w:t>
      </w:r>
    </w:p>
    <w:p>
      <w:pPr>
        <w:pStyle w:val="ListParagraph"/>
        <w:numPr>
          <w:ilvl w:val="0"/>
          <w:numId w:val="2"/>
        </w:numPr>
        <w:spacing w:after="70" w:line="280"/>
      </w:pPr>
      <w:r>
        <w:rPr>
          <w:rFonts w:ascii="Calibri" w:cs="Calibri" w:eastAsia="Calibri" w:hAnsi="Calibri"/>
          <w:color w:val="0E1A1C"/>
          <w:sz w:val="21"/>
          <w:szCs w:val="21"/>
        </w:rPr>
        <w:t xml:space="preserve">Go/no-go baseren op de hoogste score in plaats van de consistente.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Haal je beide dit jaar? En als je nu twijfelt, wat zegt dat over je planning?</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Wat is het belangrijkste praktische verschil tussen het CDMP en de CBDA?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CDMP is open boek, de CBDA niet.</w:t>
      </w:r>
    </w:p>
    <w:p>
      <w:pPr>
        <w:spacing w:after="40" w:line="275"/>
        <w:ind w:left="420"/>
      </w:pPr>
      <w:r>
        <w:rPr>
          <w:rFonts w:ascii="Calibri" w:cs="Calibri" w:eastAsia="Calibri" w:hAnsi="Calibri"/>
          <w:color w:val="5F7375"/>
          <w:sz w:val="19"/>
          <w:szCs w:val="19"/>
        </w:rPr>
        <w:t xml:space="preserve">Wat je bij het CDMP kunt opzoeken, moet je voor de CBDA daadwerkelijk weten. Dat vraagt een andere studieaanpak.</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 liggen de acht procentpunt van 62 naar 70 doorgaans het snelst?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In tempo en leesfouten.</w:t>
      </w:r>
    </w:p>
    <w:p>
      <w:pPr>
        <w:spacing w:after="40" w:line="275"/>
        <w:ind w:left="420"/>
      </w:pPr>
      <w:r>
        <w:rPr>
          <w:rFonts w:ascii="Calibri" w:cs="Calibri" w:eastAsia="Calibri" w:hAnsi="Calibri"/>
          <w:color w:val="5F7375"/>
          <w:sz w:val="19"/>
          <w:szCs w:val="19"/>
        </w:rPr>
        <w:t xml:space="preserve">Wie niet aan de laatste tien vragen toekwam, heeft daar tien vragen liggen zonder één woord bij te studeren. Kijk daar eerst.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is Data Governance voor consultants vrijwel altijd één van de twee specialismen?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Opdrachtgevers vragen ernaar.</w:t>
      </w:r>
    </w:p>
    <w:p>
      <w:pPr>
        <w:spacing w:after="40" w:line="275"/>
        <w:ind w:left="420"/>
      </w:pPr>
      <w:r>
        <w:rPr>
          <w:rFonts w:ascii="Calibri" w:cs="Calibri" w:eastAsia="Calibri" w:hAnsi="Calibri"/>
          <w:color w:val="5F7375"/>
          <w:sz w:val="19"/>
          <w:szCs w:val="19"/>
        </w:rPr>
        <w:t xml:space="preserve">De tweede keuze is waar je je onderscheidt; de eerste volgt de markt.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Welke stap zet je als eerste bij een scenariovraag?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laatste zin lezen — daar staat wat er gevraagd wordt.</w:t>
      </w:r>
    </w:p>
    <w:p>
      <w:pPr>
        <w:spacing w:after="40" w:line="275"/>
        <w:ind w:left="420"/>
      </w:pPr>
      <w:r>
        <w:rPr>
          <w:rFonts w:ascii="Calibri" w:cs="Calibri" w:eastAsia="Calibri" w:hAnsi="Calibri"/>
          <w:color w:val="5F7375"/>
          <w:sz w:val="19"/>
          <w:szCs w:val="19"/>
        </w:rPr>
        <w:t xml:space="preserve">Het scenario ervoor is context. Bij lange vragen scheelt dit begrip én tijd.</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Welk afleiderpatroon treft ervaren deelnemers het vaakst?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Te ver vooruit — een goede stap, maar niet de volgende.</w:t>
      </w:r>
    </w:p>
    <w:p>
      <w:pPr>
        <w:spacing w:after="40" w:line="275"/>
        <w:ind w:left="420"/>
      </w:pPr>
      <w:r>
        <w:rPr>
          <w:rFonts w:ascii="Calibri" w:cs="Calibri" w:eastAsia="Calibri" w:hAnsi="Calibri"/>
          <w:color w:val="5F7375"/>
          <w:sz w:val="19"/>
          <w:szCs w:val="19"/>
        </w:rPr>
        <w:t xml:space="preserve">Wie het eindpunt ziet, kiest de stap die hij zelf zou zetten. Het examen vraagt de vólgende stap.</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het tijdsbudget per vraag bij de CBDA?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96 seconden</w:t>
      </w:r>
    </w:p>
    <w:p>
      <w:pPr>
        <w:spacing w:after="40" w:line="275"/>
        <w:ind w:left="420"/>
      </w:pPr>
      <w:r>
        <w:rPr>
          <w:rFonts w:ascii="Calibri" w:cs="Calibri" w:eastAsia="Calibri" w:hAnsi="Calibri"/>
          <w:color w:val="5F7375"/>
          <w:sz w:val="19"/>
          <w:szCs w:val="19"/>
        </w:rPr>
        <w:t xml:space="preserve">75 vragen in 120 minuten. Het lijkt ruimer dan het CDMP maar de vragen zijn twee tot drie keer zo lang.</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Welke CBDA-domeinen worden door analisten het vaakst onderschat?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Domein 1 en 2</w:t>
      </w:r>
    </w:p>
    <w:p>
      <w:pPr>
        <w:spacing w:after="40" w:line="275"/>
        <w:ind w:left="420"/>
      </w:pPr>
      <w:r>
        <w:rPr>
          <w:rFonts w:ascii="Calibri" w:cs="Calibri" w:eastAsia="Calibri" w:hAnsi="Calibri"/>
          <w:color w:val="5F7375"/>
          <w:sz w:val="19"/>
          <w:szCs w:val="19"/>
        </w:rPr>
        <w:t xml:space="preserve">De onderzoeksvraag en de bronbeoordeling — precies de stappen die vóór het analyseren komen.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zoekt een beoordelaar in een ervaringsdossier?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je hebt opgeleverd én welk besluit erop is genomen.</w:t>
      </w:r>
    </w:p>
    <w:p>
      <w:pPr>
        <w:spacing w:after="40" w:line="275"/>
        <w:ind w:left="420"/>
      </w:pPr>
      <w:r>
        <w:rPr>
          <w:rFonts w:ascii="Calibri" w:cs="Calibri" w:eastAsia="Calibri" w:hAnsi="Calibri"/>
          <w:color w:val="5F7375"/>
          <w:sz w:val="19"/>
          <w:szCs w:val="19"/>
        </w:rPr>
        <w:t xml:space="preserve">Niet wat je hebt gemaakt maar wat het heeft veranderd. Een rapportage zonder genomen besluit weegt licht.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Waarom plan je de specialistexamens vóór de CBDA?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 bouwen direct voort op niveau 2 en zijn open boek; de CBDA vraagt een ander soort voorbereiding.</w:t>
      </w:r>
    </w:p>
    <w:p>
      <w:pPr>
        <w:spacing w:after="40" w:line="275"/>
        <w:ind w:left="420"/>
      </w:pPr>
      <w:r>
        <w:rPr>
          <w:rFonts w:ascii="Calibri" w:cs="Calibri" w:eastAsia="Calibri" w:hAnsi="Calibri"/>
          <w:color w:val="5F7375"/>
          <w:sz w:val="19"/>
          <w:szCs w:val="19"/>
        </w:rPr>
        <w:t xml:space="preserve">Plan er minstens zes weken tussen; beide tegelijk halveren werkt zelden.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Waarom kies je geen twee sterk overlappende specialismen?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Je wint dan minder breedte en de tweede levert weinig extra bewijs voor je ervaringsdossier.</w:t>
      </w:r>
    </w:p>
    <w:p>
      <w:pPr>
        <w:spacing w:after="40" w:line="275"/>
        <w:ind w:left="420"/>
      </w:pPr>
      <w:r>
        <w:rPr>
          <w:rFonts w:ascii="Calibri" w:cs="Calibri" w:eastAsia="Calibri" w:hAnsi="Calibri"/>
          <w:color w:val="5F7375"/>
          <w:sz w:val="19"/>
          <w:szCs w:val="19"/>
        </w:rPr>
        <w:t xml:space="preserve">Quality en Master Data delen meer dan Governance en Metadata; kies bewust.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is de meest voorkomende reden dat mensen hun certificering verliezen?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 vergeten de verlenging.</w:t>
      </w:r>
    </w:p>
    <w:p>
      <w:pPr>
        <w:spacing w:after="40" w:line="275"/>
        <w:ind w:left="420"/>
      </w:pPr>
      <w:r>
        <w:rPr>
          <w:rFonts w:ascii="Calibri" w:cs="Calibri" w:eastAsia="Calibri" w:hAnsi="Calibri"/>
          <w:color w:val="5F7375"/>
          <w:sz w:val="19"/>
          <w:szCs w:val="19"/>
        </w:rPr>
        <w:t xml:space="preserve">Zet de herinneringen meteen in je agenda nadat je geslaagd bent.</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Je haalt op het specialistproefexamen 64 procent. Wat is het verstandige besluit?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Eerst gericht bijstuderen op grond van je foutentypering, met een hertoetsdatum.</w:t>
      </w:r>
    </w:p>
    <w:p>
      <w:pPr>
        <w:spacing w:after="40" w:line="275"/>
        <w:ind w:left="420"/>
      </w:pPr>
      <w:r>
        <w:rPr>
          <w:rFonts w:ascii="Calibri" w:cs="Calibri" w:eastAsia="Calibri" w:hAnsi="Calibri"/>
          <w:color w:val="5F7375"/>
          <w:sz w:val="19"/>
          <w:szCs w:val="19"/>
        </w:rPr>
        <w:t xml:space="preserve">Zesenzestig is geen marge. Kijk eerst of de fouten kennis-, tempo- of leesfouten zijn; dat bepaalt wat je gaat doen.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dubbele certificering — CDMP en CBDA — de investering waard, of volstaat één?</w:t>
      </w:r>
    </w:p>
    <w:p>
      <w:pPr>
        <w:pStyle w:val="ListParagraph"/>
        <w:numPr>
          <w:ilvl w:val="0"/>
          <w:numId w:val="3"/>
        </w:numPr>
        <w:spacing w:after="70" w:line="280"/>
      </w:pPr>
      <w:r>
        <w:rPr>
          <w:rFonts w:ascii="Calibri" w:cs="Calibri" w:eastAsia="Calibri" w:hAnsi="Calibri"/>
          <w:color w:val="0E1A1C"/>
          <w:sz w:val="21"/>
          <w:szCs w:val="21"/>
        </w:rPr>
        <w:t xml:space="preserve">Zegt een ervaringsdossier meer over vakbekwaamheid dan een examen?</w:t>
      </w:r>
    </w:p>
    <w:p>
      <w:pPr>
        <w:pStyle w:val="ListParagraph"/>
        <w:numPr>
          <w:ilvl w:val="0"/>
          <w:numId w:val="3"/>
        </w:numPr>
        <w:spacing w:after="70" w:line="280"/>
      </w:pPr>
      <w:r>
        <w:rPr>
          <w:rFonts w:ascii="Calibri" w:cs="Calibri" w:eastAsia="Calibri" w:hAnsi="Calibri"/>
          <w:color w:val="0E1A1C"/>
          <w:sz w:val="21"/>
          <w:szCs w:val="21"/>
        </w:rPr>
        <w:t xml:space="preserve">Zou een werkgever de tweede certificering moeten vergoeden?</w:t>
      </w:r>
    </w:p>
    <w:p>
      <w:pPr>
        <w:pStyle w:val="ListParagraph"/>
        <w:numPr>
          <w:ilvl w:val="0"/>
          <w:numId w:val="3"/>
        </w:numPr>
        <w:spacing w:after="70" w:line="280"/>
      </w:pPr>
      <w:r>
        <w:rPr>
          <w:rFonts w:ascii="Calibri" w:cs="Calibri" w:eastAsia="Calibri" w:hAnsi="Calibri"/>
          <w:color w:val="0E1A1C"/>
          <w:sz w:val="21"/>
          <w:szCs w:val="21"/>
        </w:rPr>
        <w:t xml:space="preserve">Waarom overlappen de twee schema’s zo weinig, terwijl het vakgebied hetzelfde is?</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wie boven de 78 procent scoort de eisen voor Master opzoeken en beoordelen of het ervaringsdossier daaraan voldoet.</w:t>
      </w:r>
    </w:p>
    <w:p>
      <w:pPr>
        <w:pStyle w:val="ListParagraph"/>
        <w:numPr>
          <w:ilvl w:val="0"/>
          <w:numId w:val="2"/>
        </w:numPr>
        <w:spacing w:after="70" w:line="280"/>
      </w:pPr>
      <w:r>
        <w:rPr>
          <w:rFonts w:ascii="Calibri" w:cs="Calibri" w:eastAsia="Calibri" w:hAnsi="Calibri"/>
          <w:color w:val="0E1A1C"/>
          <w:sz w:val="21"/>
          <w:szCs w:val="21"/>
        </w:rPr>
        <w:t xml:space="preserve">Vraag om vijf eigen CBDA-scenariovragen te schrijven met de afleider "te ver vooruit" erin verwerkt.</w:t>
      </w:r>
    </w:p>
    <w:p>
      <w:pPr>
        <w:pStyle w:val="ListParagraph"/>
        <w:numPr>
          <w:ilvl w:val="0"/>
          <w:numId w:val="2"/>
        </w:numPr>
        <w:spacing w:after="70" w:line="280"/>
      </w:pPr>
      <w:r>
        <w:rPr>
          <w:rFonts w:ascii="Calibri" w:cs="Calibri" w:eastAsia="Calibri" w:hAnsi="Calibri"/>
          <w:color w:val="0E1A1C"/>
          <w:sz w:val="21"/>
          <w:szCs w:val="21"/>
        </w:rPr>
        <w:t xml:space="preserve">Laat een studieplan maken dat beide schema’s in acht weken haalt, en beoordeel plenair of dat realistisch is.</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Laat opdracht 3 in twee helften maken met een pauze ertussen.</w:t>
      </w:r>
    </w:p>
    <w:p>
      <w:pPr>
        <w:pStyle w:val="ListParagraph"/>
        <w:numPr>
          <w:ilvl w:val="0"/>
          <w:numId w:val="2"/>
        </w:numPr>
        <w:spacing w:after="70" w:line="280"/>
      </w:pPr>
      <w:r>
        <w:rPr>
          <w:rFonts w:ascii="Calibri" w:cs="Calibri" w:eastAsia="Calibri" w:hAnsi="Calibri"/>
          <w:color w:val="0E1A1C"/>
          <w:sz w:val="21"/>
          <w:szCs w:val="21"/>
        </w:rPr>
        <w:t xml:space="preserve">Beperk opdracht 4 tot twintig vragen.</w:t>
      </w:r>
    </w:p>
    <w:p>
      <w:pPr>
        <w:pStyle w:val="ListParagraph"/>
        <w:numPr>
          <w:ilvl w:val="0"/>
          <w:numId w:val="2"/>
        </w:numPr>
        <w:spacing w:after="70" w:line="280"/>
      </w:pPr>
      <w:r>
        <w:rPr>
          <w:rFonts w:ascii="Calibri" w:cs="Calibri" w:eastAsia="Calibri" w:hAnsi="Calibri"/>
          <w:color w:val="0E1A1C"/>
          <w:sz w:val="21"/>
          <w:szCs w:val="21"/>
        </w:rPr>
        <w:t xml:space="preserve">Ga bij een specialistscore onder de 55 procent niet door naar opdracht 7 maar maak samen een herstelplan.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 ik beide examens in dezelfde week doen?"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 wel, verstandig niet. Ze vragen een verschillende voorbereiding en het ene verdringt het andere.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ervaring heb ik nodig voor Practitioner?"</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Circa twee jaar relevante ervaring. Controleer de actuele eis bij DAMA; die is af en toe aangescherpt.</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"Zijn deze proefvragen representatief?"</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 volgen het vraagtype en de domeinverdeling, maar het zijn geen echte examenvragen. Gebruik de score als indicatie.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de CBDA lastiger dan het CDMP?"</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Anders. Gesloten boek en langere vragen, maar minder feitenkennis. Wie veel opdrachten doet, vindt hem vaak makkelijker.</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niet erkend door DAMA of IIBA;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20 — Examentraining Practitioner en CBDA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Practitioner en CBDA — Docentenhandleiding</dc:title>
  <dc:creator>Ductus B.V.</dc:creator>
  <dc:description>Cursusmateriaal datamanagement, data-analyse en data governance</dc:description>
  <cp:lastModifiedBy>Un-named</cp:lastModifiedBy>
  <cp:revision>1</cp:revision>
  <dcterms:created xsi:type="dcterms:W3CDTF">2026-08-05T12:05:56.879Z</dcterms:created>
  <dcterms:modified xsi:type="dcterms:W3CDTF">2026-08-05T12:05:56.879Z</dcterms:modified>
</cp:coreProperties>
</file>

<file path=docProps/custom.xml><?xml version="1.0" encoding="utf-8"?>
<Properties xmlns="http://schemas.openxmlformats.org/officeDocument/2006/custom-properties" xmlns:vt="http://schemas.openxmlformats.org/officeDocument/2006/docPropsVTypes"/>
</file>