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20</w:t>
      </w:r>
    </w:p>
    <w:p>
      <w:pPr>
        <w:spacing w:after="120"/>
      </w:pPr>
      <w:r>
        <w:rPr>
          <w:rFonts w:ascii="Cambria" w:cs="Cambria" w:eastAsia="Cambria" w:hAnsi="Cambria"/>
          <w:b/>
          <w:bCs/>
          <w:color w:val="0E1A1C"/>
          <w:sz w:val="56"/>
          <w:szCs w:val="56"/>
        </w:rPr>
        <w:t xml:space="preserve">Examentraining Practitioner en CBDA</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7 uur (4 uur klassikaal, 3 uur zelfstandig)</w:t>
      </w:r>
    </w:p>
    <w:p>
      <w:pPr>
        <w:spacing w:after="40"/>
      </w:pPr>
      <w:r>
        <w:rPr>
          <w:rFonts w:ascii="Consolas" w:cs="Consolas" w:eastAsia="Consolas" w:hAnsi="Consolas"/>
          <w:color w:val="5F7375"/>
          <w:sz w:val="17"/>
          <w:szCs w:val="17"/>
        </w:rPr>
        <w:t xml:space="preserve">EXAMENDOEL  </w:t>
      </w:r>
      <w:r>
        <w:rPr>
          <w:rFonts w:ascii="Calibri" w:cs="Calibri" w:eastAsia="Calibri" w:hAnsi="Calibri"/>
          <w:b/>
          <w:bCs/>
          <w:color w:val="0E1A1C"/>
          <w:sz w:val="20"/>
          <w:szCs w:val="20"/>
        </w:rPr>
        <w:t xml:space="preserve">CDMP Practitioner en IIBA-CBDA</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scorerapport en je studieplan</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Controleer de logistiek bij de bron</w:t>
            </w:r>
          </w:p>
          <w:p>
            <w:pPr>
              <w:spacing w:after="60" w:line="280"/>
            </w:pPr>
            <w:r>
              <w:rPr>
                <w:rFonts w:ascii="Calibri" w:cs="Calibri" w:eastAsia="Calibri" w:hAnsi="Calibri"/>
                <w:color w:val="0E1A1C"/>
                <w:sz w:val="20"/>
                <w:szCs w:val="20"/>
              </w:rPr>
              <w:t xml:space="preserve">Vraagaantallen, tijdsduur, kosten, ervaringseisen en de lijst met beschikbare specialistexamens wijzigen regelmatig. De gegevens in dit deel zijn gecontroleerd in augustus 2026. Verifieer ze op cdmp.info, dama.org en iiba.org vóórdat je je inschrijft.</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Twee schema’s tegelijk, met verschillende logica. De CDMP-route vraagt een hogere score op hetzelfde Fundamentals-examen plus twee specialistexamens en ervaring. De CBDA vraagt één examen met scenariovragen over zes domeinen. Ze overlappen inhoudelijk nauwelijks, en dat is precies waarom je ze niet in dezelfde week moet doen.</w:t>
      </w:r>
    </w:p>
    <w:p>
      <w:pPr>
        <w:spacing w:after="140" w:line="288"/>
      </w:pPr>
      <w:r>
        <w:rPr>
          <w:rFonts w:ascii="Calibri" w:cs="Calibri" w:eastAsia="Calibri" w:hAnsi="Calibri"/>
          <w:color w:val="0E1A1C"/>
          <w:sz w:val="21"/>
          <w:szCs w:val="21"/>
        </w:rPr>
        <w:t xml:space="preserve">Dit deel gaat over planning, over de keuze van je specialismen, en over de leesstrategie bij scenariovragen — het vraagtype dat op beide examens het zwaarst weegt en waarop de meeste punten weglekken bij mensen die de stof beheersen.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kiest twee specialistexamens op grond van je scorerapport en je opdrachtenpraktijk.</w:t>
      </w:r>
    </w:p>
    <w:p>
      <w:pPr>
        <w:pStyle w:val="ListParagraph"/>
        <w:numPr>
          <w:ilvl w:val="0"/>
          <w:numId w:val="2"/>
        </w:numPr>
        <w:spacing w:after="70" w:line="280"/>
      </w:pPr>
      <w:r>
        <w:rPr>
          <w:rFonts w:ascii="Calibri" w:cs="Calibri" w:eastAsia="Calibri" w:hAnsi="Calibri"/>
          <w:color w:val="0E1A1C"/>
          <w:sz w:val="21"/>
          <w:szCs w:val="21"/>
        </w:rPr>
        <w:t xml:space="preserve">Je weet wat het verschil is tussen 60 en 70 procent op Fundamentals en waar dat verschil zit.</w:t>
      </w:r>
    </w:p>
    <w:p>
      <w:pPr>
        <w:pStyle w:val="ListParagraph"/>
        <w:numPr>
          <w:ilvl w:val="0"/>
          <w:numId w:val="2"/>
        </w:numPr>
        <w:spacing w:after="70" w:line="280"/>
      </w:pPr>
      <w:r>
        <w:rPr>
          <w:rFonts w:ascii="Calibri" w:cs="Calibri" w:eastAsia="Calibri" w:hAnsi="Calibri"/>
          <w:color w:val="0E1A1C"/>
          <w:sz w:val="21"/>
          <w:szCs w:val="21"/>
        </w:rPr>
        <w:t xml:space="preserve">Je kent de opzet van de CBDA en de weging van de zes domeinen.</w:t>
      </w:r>
    </w:p>
    <w:p>
      <w:pPr>
        <w:pStyle w:val="ListParagraph"/>
        <w:numPr>
          <w:ilvl w:val="0"/>
          <w:numId w:val="2"/>
        </w:numPr>
        <w:spacing w:after="70" w:line="280"/>
      </w:pPr>
      <w:r>
        <w:rPr>
          <w:rFonts w:ascii="Calibri" w:cs="Calibri" w:eastAsia="Calibri" w:hAnsi="Calibri"/>
          <w:color w:val="0E1A1C"/>
          <w:sz w:val="21"/>
          <w:szCs w:val="21"/>
        </w:rPr>
        <w:t xml:space="preserve">Je ontleedt een scenariovraag in vier stappen en herkent de afleiders.</w:t>
      </w:r>
    </w:p>
    <w:p>
      <w:pPr>
        <w:pStyle w:val="ListParagraph"/>
        <w:numPr>
          <w:ilvl w:val="0"/>
          <w:numId w:val="2"/>
        </w:numPr>
        <w:spacing w:after="70" w:line="280"/>
      </w:pPr>
      <w:r>
        <w:rPr>
          <w:rFonts w:ascii="Calibri" w:cs="Calibri" w:eastAsia="Calibri" w:hAnsi="Calibri"/>
          <w:color w:val="0E1A1C"/>
          <w:sz w:val="21"/>
          <w:szCs w:val="21"/>
        </w:rPr>
        <w:t xml:space="preserve">Je verdeelt je studietijd over twee schema’s zonder dat het ene het andere verdringt.</w:t>
      </w:r>
    </w:p>
    <w:p>
      <w:pPr>
        <w:pStyle w:val="ListParagraph"/>
        <w:numPr>
          <w:ilvl w:val="0"/>
          <w:numId w:val="2"/>
        </w:numPr>
        <w:spacing w:after="70" w:line="280"/>
      </w:pPr>
      <w:r>
        <w:rPr>
          <w:rFonts w:ascii="Calibri" w:cs="Calibri" w:eastAsia="Calibri" w:hAnsi="Calibri"/>
          <w:color w:val="0E1A1C"/>
          <w:sz w:val="21"/>
          <w:szCs w:val="21"/>
        </w:rPr>
        <w:t xml:space="preserve">Je bouwt het ervaringsdossier op dat Practitioner en later Master vragen.</w:t>
      </w:r>
    </w:p>
    <w:p>
      <w:pPr>
        <w:pStyle w:val="ListParagraph"/>
        <w:numPr>
          <w:ilvl w:val="0"/>
          <w:numId w:val="2"/>
        </w:numPr>
        <w:spacing w:after="70" w:line="280"/>
      </w:pPr>
      <w:r>
        <w:rPr>
          <w:rFonts w:ascii="Calibri" w:cs="Calibri" w:eastAsia="Calibri" w:hAnsi="Calibri"/>
          <w:color w:val="0E1A1C"/>
          <w:sz w:val="21"/>
          <w:szCs w:val="21"/>
        </w:rPr>
        <w:t xml:space="preserve">Je neemt een verdedigbaar besluit over wanneer je je inschrijft, en voor wat.</w:t>
      </w:r>
    </w:p>
    <w:p>
      <w:r>
        <w:br w:type="page"/>
      </w:r>
    </w:p>
    <w:p>
      <w:pPr>
        <w:pStyle w:val="Heading1"/>
        <w:spacing w:after="200" w:before="420"/>
      </w:pPr>
      <w:r>
        <w:rPr>
          <w:rFonts w:ascii="Cambria" w:cs="Cambria" w:eastAsia="Cambria" w:hAnsi="Cambria"/>
          <w:b/>
          <w:bCs/>
          <w:color w:val="1B4A48"/>
          <w:sz w:val="34"/>
          <w:szCs w:val="34"/>
        </w:rPr>
        <w:t xml:space="preserve">2. De twee schema’s naast elkaar</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600"/>
        <w:gridCol w:w="36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CDMP Practitioner</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IIBA-CBDA</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Uitgever</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DAMA International</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IIBA</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je aflegt</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Fundamentals op 70%+ en twee specialistexamens op 70%+</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examen van 75 scenariovragen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minuten per examen</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uur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Hulpmiddel</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DMBOK2, papier óf digitaal</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gesloten boek</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Ervaringseis</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Circa twee jaar relevante ervaring</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Ervaring in business analytics, zie het handboek</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DMBOK2 Revised Edition</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Guide to Business Data Analytics, voor leden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Geldigheid</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jaar per examen, met hercertificering</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 periodieke hercertificering</w:t>
            </w:r>
          </w:p>
        </w:tc>
      </w:tr>
    </w:tbl>
    <w:p>
      <w:pPr>
        <w:spacing w:after="140"/>
      </w:pPr>
      <w:r>
        <w:t xml:space="preserve"/>
      </w:r>
    </w:p>
    <w:p>
      <w:pPr>
        <w:spacing w:after="140" w:line="288"/>
      </w:pPr>
      <w:r>
        <w:rPr>
          <w:rFonts w:ascii="Calibri" w:cs="Calibri" w:eastAsia="Calibri" w:hAnsi="Calibri"/>
          <w:color w:val="0E1A1C"/>
          <w:sz w:val="21"/>
          <w:szCs w:val="21"/>
        </w:rPr>
        <w:t xml:space="preserve">Het belangrijkste praktische verschil: de CDMP is open boek en de CBDA niet. Dat betekent dat je voor de CBDA daadwerkelijk moet onthouden wat je bij de CDMP kunt opzoeken — en dat de studieaanpak dus verschilt. Wie beide in dezelfde maand plant, merkt dat te laat.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Volgorde</w:t>
            </w:r>
          </w:p>
          <w:p>
            <w:pPr>
              <w:spacing w:after="60" w:line="280"/>
            </w:pPr>
            <w:r>
              <w:rPr>
                <w:rFonts w:ascii="Calibri" w:cs="Calibri" w:eastAsia="Calibri" w:hAnsi="Calibri"/>
                <w:color w:val="0E1A1C"/>
                <w:sz w:val="20"/>
                <w:szCs w:val="20"/>
              </w:rPr>
              <w:t xml:space="preserve">De praktische volgorde is: eerst de twee specialistexamens, dan de CBDA. De specialistexamens bouwen direct voort op wat je in deel 11 tot en met 17 hebt gedaan en zijn open boek. De CBDA vraagt een ander soort voorbereiding en profiteert van de opdrachtenervaring uit deel 18 en 19. Plan er minstens zes weken tussen.</w:t>
            </w:r>
          </w:p>
        </w:tc>
      </w:tr>
    </w:tbl>
    <w:p>
      <w:pPr>
        <w:pStyle w:val="Heading1"/>
        <w:spacing w:after="200" w:before="420"/>
      </w:pPr>
      <w:r>
        <w:rPr>
          <w:rFonts w:ascii="Cambria" w:cs="Cambria" w:eastAsia="Cambria" w:hAnsi="Cambria"/>
          <w:b/>
          <w:bCs/>
          <w:color w:val="1B4A48"/>
          <w:sz w:val="34"/>
          <w:szCs w:val="34"/>
        </w:rPr>
        <w:t xml:space="preserve">3. Van 60 naar 70 procent</w:t>
      </w:r>
    </w:p>
    <w:p>
      <w:pPr>
        <w:spacing w:after="140" w:line="288"/>
      </w:pPr>
      <w:r>
        <w:rPr>
          <w:rFonts w:ascii="Calibri" w:cs="Calibri" w:eastAsia="Calibri" w:hAnsi="Calibri"/>
          <w:color w:val="0E1A1C"/>
          <w:sz w:val="21"/>
          <w:szCs w:val="21"/>
        </w:rPr>
        <w:t xml:space="preserve">Wie Associate haalde met 62 procent en nu Practitioner wil, heeft acht procentpunt te overbruggen. Dat is ongeveer acht vragen. Waar die zitten, staat in je scorerapport.</w:t>
      </w:r>
    </w:p>
    <w:p>
      <w:pPr>
        <w:pStyle w:val="Heading3"/>
        <w:spacing w:after="100" w:before="240"/>
      </w:pPr>
      <w:r>
        <w:rPr>
          <w:rFonts w:ascii="Calibri" w:cs="Calibri" w:eastAsia="Calibri" w:hAnsi="Calibri"/>
          <w:b/>
          <w:bCs/>
          <w:color w:val="3F7D74"/>
          <w:sz w:val="22"/>
          <w:szCs w:val="22"/>
        </w:rPr>
        <w:t xml:space="preserve">Waar de acht punten meestal liggen</w:t>
      </w:r>
    </w:p>
    <w:p>
      <w:pPr>
        <w:pStyle w:val="ListParagraph"/>
        <w:numPr>
          <w:ilvl w:val="0"/>
          <w:numId w:val="3"/>
        </w:numPr>
        <w:spacing w:after="70" w:line="280"/>
      </w:pPr>
      <w:r>
        <w:rPr>
          <w:rFonts w:ascii="Calibri" w:cs="Calibri" w:eastAsia="Calibri" w:hAnsi="Calibri"/>
          <w:color w:val="0E1A1C"/>
          <w:sz w:val="21"/>
          <w:szCs w:val="21"/>
        </w:rPr>
        <w:t xml:space="preserve">De vier zwaarst wegende kennisgebieden. Één procentpunt winst op elk van de vier is de helft van wat je nodig hebt, en die gebieden heb je in niveau 2 diepgaand behandeld.</w:t>
      </w:r>
    </w:p>
    <w:p>
      <w:pPr>
        <w:pStyle w:val="ListParagraph"/>
        <w:numPr>
          <w:ilvl w:val="0"/>
          <w:numId w:val="3"/>
        </w:numPr>
        <w:spacing w:after="70" w:line="280"/>
      </w:pPr>
      <w:r>
        <w:rPr>
          <w:rFonts w:ascii="Calibri" w:cs="Calibri" w:eastAsia="Calibri" w:hAnsi="Calibri"/>
          <w:color w:val="0E1A1C"/>
          <w:sz w:val="21"/>
          <w:szCs w:val="21"/>
        </w:rPr>
        <w:t xml:space="preserve">De verwarparen. Wie de tien paren uit deel 9 foutloos beheerst, wint doorgaans drie tot vijf vragen.</w:t>
      </w:r>
    </w:p>
    <w:p>
      <w:pPr>
        <w:pStyle w:val="ListParagraph"/>
        <w:numPr>
          <w:ilvl w:val="0"/>
          <w:numId w:val="3"/>
        </w:numPr>
        <w:spacing w:after="70" w:line="280"/>
      </w:pPr>
      <w:r>
        <w:rPr>
          <w:rFonts w:ascii="Calibri" w:cs="Calibri" w:eastAsia="Calibri" w:hAnsi="Calibri"/>
          <w:color w:val="0E1A1C"/>
          <w:sz w:val="21"/>
          <w:szCs w:val="21"/>
        </w:rPr>
        <w:t xml:space="preserve">De negatieve vragen. Wie ze structureel omdraait, wint er één of twee die hij inhoudelijk al wist.</w:t>
      </w:r>
    </w:p>
    <w:p>
      <w:pPr>
        <w:pStyle w:val="ListParagraph"/>
        <w:numPr>
          <w:ilvl w:val="0"/>
          <w:numId w:val="3"/>
        </w:numPr>
        <w:spacing w:after="70" w:line="280"/>
      </w:pPr>
      <w:r>
        <w:rPr>
          <w:rFonts w:ascii="Calibri" w:cs="Calibri" w:eastAsia="Calibri" w:hAnsi="Calibri"/>
          <w:color w:val="0E1A1C"/>
          <w:sz w:val="21"/>
          <w:szCs w:val="21"/>
        </w:rPr>
        <w:t xml:space="preserve">Tempo. Wie in de eerste poging niet aan de laatste tien vragen toekwam, heeft daar tien vragen liggen zonder één woord bij te studeren.</w:t>
      </w:r>
    </w:p>
    <w:p>
      <w:pPr>
        <w:spacing w:after="140" w:line="288"/>
      </w:pPr>
      <w:r>
        <w:rPr>
          <w:rFonts w:ascii="Calibri" w:cs="Calibri" w:eastAsia="Calibri" w:hAnsi="Calibri"/>
          <w:color w:val="0E1A1C"/>
          <w:sz w:val="21"/>
          <w:szCs w:val="21"/>
        </w:rPr>
        <w:t xml:space="preserve">De volgorde is niet toevallig. Kijk eerst naar tempo en leesfouten, want die zijn het snelst op te lossen. Pas daarna naar kennis.</w:t>
      </w:r>
    </w:p>
    <w:p>
      <w:pPr>
        <w:pStyle w:val="Heading1"/>
        <w:spacing w:after="200" w:before="420"/>
      </w:pPr>
      <w:r>
        <w:rPr>
          <w:rFonts w:ascii="Cambria" w:cs="Cambria" w:eastAsia="Cambria" w:hAnsi="Cambria"/>
          <w:b/>
          <w:bCs/>
          <w:color w:val="1B4A48"/>
          <w:sz w:val="34"/>
          <w:szCs w:val="34"/>
        </w:rPr>
        <w:t xml:space="preserve">4. De specialistexamens</w:t>
      </w:r>
    </w:p>
    <w:p>
      <w:pPr>
        <w:spacing w:after="140" w:line="288"/>
      </w:pPr>
      <w:r>
        <w:rPr>
          <w:rFonts w:ascii="Calibri" w:cs="Calibri" w:eastAsia="Calibri" w:hAnsi="Calibri"/>
          <w:color w:val="0E1A1C"/>
          <w:sz w:val="21"/>
          <w:szCs w:val="21"/>
        </w:rPr>
        <w:t xml:space="preserve">Practitioner vraagt twee specialistexamens. De keuze is vrij binnen de beschikbare lijst; controleer die actueel bij DAMA, want hij verandert af en toe.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300"/>
        <w:gridCol w:w="2100"/>
        <w:gridCol w:w="4620"/>
      </w:tblGrid>
      <w:tr>
        <w:trPr>
          <w:tblHeader/>
        </w:trPr>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Specialisme</w:t>
            </w:r>
          </w:p>
        </w:tc>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Behandeld in</w:t>
            </w:r>
          </w:p>
        </w:tc>
        <w:tc>
          <w:tcPr>
            <w:tcW w:type="dxa" w:w="4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Kies dit als</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Governance</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11 en 16</w:t>
            </w:r>
          </w:p>
        </w:tc>
        <w:tc>
          <w:tcPr>
            <w:tcW w:type="dxa" w:w="4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opdrachten over inrichting en besluitrechten gaan — de breedste keuze voor consultants</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Quality</w:t>
            </w:r>
          </w:p>
        </w:tc>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4 en 15</w:t>
            </w:r>
          </w:p>
        </w:tc>
        <w:tc>
          <w:tcPr>
            <w:tcW w:type="dxa" w:w="4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met meetplannen, regels en remediatie werkt</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Modeling &amp; Design</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2 en 12</w:t>
            </w:r>
          </w:p>
        </w:tc>
        <w:tc>
          <w:tcPr>
            <w:tcW w:type="dxa" w:w="4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veel modelleert of modelreviews doet</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Metadata Management</w:t>
            </w:r>
          </w:p>
        </w:tc>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 en 13</w:t>
            </w:r>
          </w:p>
        </w:tc>
        <w:tc>
          <w:tcPr>
            <w:tcW w:type="dxa" w:w="4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met catalogi, begrippenkaders en lineage werkt</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Reference &amp; Master Data</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 en 14</w:t>
            </w:r>
          </w:p>
        </w:tc>
        <w:tc>
          <w:tcPr>
            <w:tcW w:type="dxa" w:w="4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met MDM-trajecten of identiteitsvraagstukken bezig bent</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Hoe je kiest</w:t>
      </w:r>
    </w:p>
    <w:p>
      <w:pPr>
        <w:pStyle w:val="ListParagraph"/>
        <w:numPr>
          <w:ilvl w:val="0"/>
          <w:numId w:val="4"/>
        </w:numPr>
        <w:spacing w:after="70" w:line="280"/>
      </w:pPr>
      <w:r>
        <w:rPr>
          <w:rFonts w:ascii="Calibri" w:cs="Calibri" w:eastAsia="Calibri" w:hAnsi="Calibri"/>
          <w:color w:val="0E1A1C"/>
          <w:sz w:val="21"/>
          <w:szCs w:val="21"/>
        </w:rPr>
        <w:t xml:space="preserve">Kijk naar je scorerapport: waar stond je al hoog? Een gebied waarop je 75 procent scoorde, is dichter bij een specialistexamen dan een gebied waarop je 50 scoorde.</w:t>
      </w:r>
    </w:p>
    <w:p>
      <w:pPr>
        <w:pStyle w:val="ListParagraph"/>
        <w:numPr>
          <w:ilvl w:val="0"/>
          <w:numId w:val="4"/>
        </w:numPr>
        <w:spacing w:after="70" w:line="280"/>
      </w:pPr>
      <w:r>
        <w:rPr>
          <w:rFonts w:ascii="Calibri" w:cs="Calibri" w:eastAsia="Calibri" w:hAnsi="Calibri"/>
          <w:color w:val="0E1A1C"/>
          <w:sz w:val="21"/>
          <w:szCs w:val="21"/>
        </w:rPr>
        <w:t xml:space="preserve">Kijk naar je opdrachten: waar sta je het komende jaar met je voeten in? Dat levert bewijs voor de ervaringseis én betere antwoorden op scenariovragen.</w:t>
      </w:r>
    </w:p>
    <w:p>
      <w:pPr>
        <w:pStyle w:val="ListParagraph"/>
        <w:numPr>
          <w:ilvl w:val="0"/>
          <w:numId w:val="4"/>
        </w:numPr>
        <w:spacing w:after="70" w:line="280"/>
      </w:pPr>
      <w:r>
        <w:rPr>
          <w:rFonts w:ascii="Calibri" w:cs="Calibri" w:eastAsia="Calibri" w:hAnsi="Calibri"/>
          <w:color w:val="0E1A1C"/>
          <w:sz w:val="21"/>
          <w:szCs w:val="21"/>
        </w:rPr>
        <w:t xml:space="preserve">Kies niet twee gebieden die sterk overlappen. Governance en Metadata delen minder dan je denkt; Quality en Master Data delen meer.</w:t>
      </w:r>
    </w:p>
    <w:p>
      <w:pPr>
        <w:pStyle w:val="ListParagraph"/>
        <w:numPr>
          <w:ilvl w:val="0"/>
          <w:numId w:val="4"/>
        </w:numPr>
        <w:spacing w:after="70" w:line="280"/>
      </w:pPr>
      <w:r>
        <w:rPr>
          <w:rFonts w:ascii="Calibri" w:cs="Calibri" w:eastAsia="Calibri" w:hAnsi="Calibri"/>
          <w:color w:val="0E1A1C"/>
          <w:sz w:val="21"/>
          <w:szCs w:val="21"/>
        </w:rPr>
        <w:t xml:space="preserve">Voor consultants is Data Governance vrijwel altijd één van de twee, omdat opdrachtgevers daar naar vragen.</w:t>
      </w:r>
    </w:p>
    <w:p>
      <w:r>
        <w:br w:type="page"/>
      </w:r>
    </w:p>
    <w:p>
      <w:pPr>
        <w:pStyle w:val="Heading1"/>
        <w:spacing w:after="200" w:before="420"/>
      </w:pPr>
      <w:r>
        <w:rPr>
          <w:rFonts w:ascii="Cambria" w:cs="Cambria" w:eastAsia="Cambria" w:hAnsi="Cambria"/>
          <w:b/>
          <w:bCs/>
          <w:color w:val="1B4A48"/>
          <w:sz w:val="34"/>
          <w:szCs w:val="34"/>
        </w:rPr>
        <w:t xml:space="preserve">5. De CBDA</w:t>
      </w:r>
    </w:p>
    <w:p>
      <w:pPr>
        <w:spacing w:after="140" w:line="288"/>
      </w:pPr>
      <w:r>
        <w:rPr>
          <w:rFonts w:ascii="Calibri" w:cs="Calibri" w:eastAsia="Calibri" w:hAnsi="Calibri"/>
          <w:color w:val="0E1A1C"/>
          <w:sz w:val="21"/>
          <w:szCs w:val="21"/>
        </w:rPr>
        <w:t xml:space="preserve">Vijfenzeventig scenariovragen in twee uur, gesloten boek, over zes domeinen. Dat is anderhalve minuut per vraag, en de vragen zijn langer dan bij het CDMP — een scenario van vier tot zes regels is normaal.</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000"/>
        <w:gridCol w:w="4400"/>
        <w:gridCol w:w="3620"/>
      </w:tblGrid>
      <w:tr>
        <w:trPr>
          <w:tblHeader/>
        </w:trPr>
        <w:tc>
          <w:tcPr>
            <w:tcW w:type="dxa" w:w="1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Domein</w:t>
            </w:r>
          </w:p>
        </w:tc>
        <w:tc>
          <w:tcPr>
            <w:tcW w:type="dxa" w:w="4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het over gaat</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Behandeld in</w:t>
            </w:r>
          </w:p>
        </w:tc>
      </w:tr>
      <w:tr>
        <w:tc>
          <w:tcPr>
            <w:tcW w:type="dxa" w:w="1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onderzoeksvraag identificeren</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18, hoofdstuk 2</w:t>
            </w:r>
          </w:p>
        </w:tc>
      </w:tr>
      <w:tr>
        <w:tc>
          <w:tcPr>
            <w:tcW w:type="dxa" w:w="1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Databronnen ontsluiten en beoordelen</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18, hoofdstuk 3</w:t>
            </w:r>
          </w:p>
        </w:tc>
      </w:tr>
      <w:tr>
        <w:tc>
          <w:tcPr>
            <w:tcW w:type="dxa" w:w="1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analyseren</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18, hoofdstuk 4 tot en met 9</w:t>
            </w:r>
          </w:p>
        </w:tc>
      </w:tr>
      <w:tr>
        <w:tc>
          <w:tcPr>
            <w:tcW w:type="dxa" w:w="1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Resultaten interpreteren en rapporteren</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18, hoofdstuk 11</w:t>
            </w:r>
          </w:p>
        </w:tc>
      </w:tr>
      <w:tr>
        <w:tc>
          <w:tcPr>
            <w:tcW w:type="dxa" w:w="1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Besluitvorming beïnvloeden</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19, hoofdstuk 2 tot en met 7</w:t>
            </w:r>
          </w:p>
        </w:tc>
      </w:tr>
      <w:tr>
        <w:tc>
          <w:tcPr>
            <w:tcW w:type="dxa" w:w="1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Analytics-strategie op ondernemingsniveau sturen</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19, hoofdstuk 8 en 9</w:t>
            </w:r>
          </w:p>
        </w:tc>
      </w:tr>
    </w:tbl>
    <w:p>
      <w:pPr>
        <w:spacing w:after="140"/>
      </w:pPr>
      <w:r>
        <w:t xml:space="preserve"/>
      </w:r>
    </w:p>
    <w:p>
      <w:pPr>
        <w:spacing w:after="140" w:line="288"/>
      </w:pPr>
      <w:r>
        <w:rPr>
          <w:rFonts w:ascii="Calibri" w:cs="Calibri" w:eastAsia="Calibri" w:hAnsi="Calibri"/>
          <w:color w:val="0E1A1C"/>
          <w:sz w:val="21"/>
          <w:szCs w:val="21"/>
        </w:rPr>
        <w:t xml:space="preserve">De domeinen wegen niet gelijk; controleer de actuele weging in het blueprint van IIBA. Wat in elk geval geldt: domein 1 en 2 samen zijn substantieel, en dat zijn precies de domeinen die analisten het vaakst overslaan omdat ze het analyseren als het echte werk beschouwen.</w:t>
      </w:r>
    </w:p>
    <w:p>
      <w:pPr>
        <w:pStyle w:val="Heading3"/>
        <w:spacing w:after="100" w:before="240"/>
      </w:pPr>
      <w:r>
        <w:rPr>
          <w:rFonts w:ascii="Calibri" w:cs="Calibri" w:eastAsia="Calibri" w:hAnsi="Calibri"/>
          <w:b/>
          <w:bCs/>
          <w:color w:val="3F7D74"/>
          <w:sz w:val="22"/>
          <w:szCs w:val="22"/>
        </w:rPr>
        <w:t xml:space="preserve">Waarin de CBDA anders is dan het CDMP</w:t>
      </w:r>
    </w:p>
    <w:p>
      <w:pPr>
        <w:pStyle w:val="ListParagraph"/>
        <w:numPr>
          <w:ilvl w:val="0"/>
          <w:numId w:val="3"/>
        </w:numPr>
        <w:spacing w:after="70" w:line="280"/>
      </w:pPr>
      <w:r>
        <w:rPr>
          <w:rFonts w:ascii="Calibri" w:cs="Calibri" w:eastAsia="Calibri" w:hAnsi="Calibri"/>
          <w:color w:val="0E1A1C"/>
          <w:sz w:val="21"/>
          <w:szCs w:val="21"/>
        </w:rPr>
        <w:t xml:space="preserve">Gesloten boek. Wat je niet weet, weet je niet.</w:t>
      </w:r>
    </w:p>
    <w:p>
      <w:pPr>
        <w:pStyle w:val="ListParagraph"/>
        <w:numPr>
          <w:ilvl w:val="0"/>
          <w:numId w:val="3"/>
        </w:numPr>
        <w:spacing w:after="70" w:line="280"/>
      </w:pPr>
      <w:r>
        <w:rPr>
          <w:rFonts w:ascii="Calibri" w:cs="Calibri" w:eastAsia="Calibri" w:hAnsi="Calibri"/>
          <w:color w:val="0E1A1C"/>
          <w:sz w:val="21"/>
          <w:szCs w:val="21"/>
        </w:rPr>
        <w:t xml:space="preserve">Vrijwel uitsluitend scenariovragen. Definitievragen komen nauwelijks voor.</w:t>
      </w:r>
    </w:p>
    <w:p>
      <w:pPr>
        <w:pStyle w:val="ListParagraph"/>
        <w:numPr>
          <w:ilvl w:val="0"/>
          <w:numId w:val="3"/>
        </w:numPr>
        <w:spacing w:after="70" w:line="280"/>
      </w:pPr>
      <w:r>
        <w:rPr>
          <w:rFonts w:ascii="Calibri" w:cs="Calibri" w:eastAsia="Calibri" w:hAnsi="Calibri"/>
          <w:color w:val="0E1A1C"/>
          <w:sz w:val="21"/>
          <w:szCs w:val="21"/>
        </w:rPr>
        <w:t xml:space="preserve">De vragen gaan over wat je zou dóén, niet over wat iets betekent. Het juiste antwoord is vaak de volgende stap in het proces, niet de mooiste analyse.</w:t>
      </w:r>
    </w:p>
    <w:p>
      <w:pPr>
        <w:pStyle w:val="ListParagraph"/>
        <w:numPr>
          <w:ilvl w:val="0"/>
          <w:numId w:val="3"/>
        </w:numPr>
        <w:spacing w:after="70" w:line="280"/>
      </w:pPr>
      <w:r>
        <w:rPr>
          <w:rFonts w:ascii="Calibri" w:cs="Calibri" w:eastAsia="Calibri" w:hAnsi="Calibri"/>
          <w:color w:val="0E1A1C"/>
          <w:sz w:val="21"/>
          <w:szCs w:val="21"/>
        </w:rPr>
        <w:t xml:space="preserve">Er is meer dan één verdedigbaar antwoord; gezocht wordt het antwoord dat een ervaren analist als eerste zou kiezen.</w:t>
      </w:r>
    </w:p>
    <w:p>
      <w:pPr>
        <w:pStyle w:val="Heading1"/>
        <w:spacing w:after="200" w:before="420"/>
      </w:pPr>
      <w:r>
        <w:rPr>
          <w:rFonts w:ascii="Cambria" w:cs="Cambria" w:eastAsia="Cambria" w:hAnsi="Cambria"/>
          <w:b/>
          <w:bCs/>
          <w:color w:val="1B4A48"/>
          <w:sz w:val="34"/>
          <w:szCs w:val="34"/>
        </w:rPr>
        <w:t xml:space="preserve">6. Scenariovragen ontleden</w:t>
      </w:r>
    </w:p>
    <w:p>
      <w:pPr>
        <w:spacing w:after="140" w:line="288"/>
      </w:pPr>
      <w:r>
        <w:rPr>
          <w:rFonts w:ascii="Calibri" w:cs="Calibri" w:eastAsia="Calibri" w:hAnsi="Calibri"/>
          <w:color w:val="0E1A1C"/>
          <w:sz w:val="21"/>
          <w:szCs w:val="21"/>
        </w:rPr>
        <w:t xml:space="preserve">Vier stappen, in deze volgorde. Wie ze aanhoudt, wint vragen die hij inhoudelijk al wist.</w:t>
      </w:r>
    </w:p>
    <w:p>
      <w:pPr>
        <w:pStyle w:val="ListParagraph"/>
        <w:numPr>
          <w:ilvl w:val="0"/>
          <w:numId w:val="5"/>
        </w:numPr>
        <w:spacing w:after="70" w:line="280"/>
      </w:pPr>
      <w:r>
        <w:rPr>
          <w:rFonts w:ascii="Calibri" w:cs="Calibri" w:eastAsia="Calibri" w:hAnsi="Calibri"/>
          <w:color w:val="0E1A1C"/>
          <w:sz w:val="21"/>
          <w:szCs w:val="21"/>
        </w:rPr>
        <w:t xml:space="preserve">Lees de laatste zin eerst. Daar staat wat er gevraagd wordt; het scenario ervoor is context. Bij een lange vraag scheelt dat begrip en tijd.</w:t>
      </w:r>
    </w:p>
    <w:p>
      <w:pPr>
        <w:pStyle w:val="ListParagraph"/>
        <w:numPr>
          <w:ilvl w:val="0"/>
          <w:numId w:val="5"/>
        </w:numPr>
        <w:spacing w:after="70" w:line="280"/>
      </w:pPr>
      <w:r>
        <w:rPr>
          <w:rFonts w:ascii="Calibri" w:cs="Calibri" w:eastAsia="Calibri" w:hAnsi="Calibri"/>
          <w:color w:val="0E1A1C"/>
          <w:sz w:val="21"/>
          <w:szCs w:val="21"/>
        </w:rPr>
        <w:t xml:space="preserve">Bepaal in welke fase van het proces je zit. Bij de CBDA: welk van de zes domeinen? Bij het CDMP: welk kennisgebied? Dat sluit doorgaans twee opties uit.</w:t>
      </w:r>
    </w:p>
    <w:p>
      <w:pPr>
        <w:pStyle w:val="ListParagraph"/>
        <w:numPr>
          <w:ilvl w:val="0"/>
          <w:numId w:val="5"/>
        </w:numPr>
        <w:spacing w:after="70" w:line="280"/>
      </w:pPr>
      <w:r>
        <w:rPr>
          <w:rFonts w:ascii="Calibri" w:cs="Calibri" w:eastAsia="Calibri" w:hAnsi="Calibri"/>
          <w:color w:val="0E1A1C"/>
          <w:sz w:val="21"/>
          <w:szCs w:val="21"/>
        </w:rPr>
        <w:t xml:space="preserve">Formuleer je eigen antwoord vóórdat je de opties leest.</w:t>
      </w:r>
    </w:p>
    <w:p>
      <w:pPr>
        <w:pStyle w:val="ListParagraph"/>
        <w:numPr>
          <w:ilvl w:val="0"/>
          <w:numId w:val="5"/>
        </w:numPr>
        <w:spacing w:after="70" w:line="280"/>
      </w:pPr>
      <w:r>
        <w:rPr>
          <w:rFonts w:ascii="Calibri" w:cs="Calibri" w:eastAsia="Calibri" w:hAnsi="Calibri"/>
          <w:color w:val="0E1A1C"/>
          <w:sz w:val="21"/>
          <w:szCs w:val="21"/>
        </w:rPr>
        <w:t xml:space="preserve">Elimineer op de afleiderpatronen, niet op gevoel.</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Afleider</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je hem herkent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Waarom hij aantrekkelijk is</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 ver vooruit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goede stap, maar niet de volgende</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Ervaren mensen kiezen hem omdat ze het eindpunt zien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 juist, buiten scope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Correct maar beantwoordt de vraag niet</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Herkenbaar uit de eigen praktijk</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Absoluut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Bevat altijd, nooit, alle</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Klinkt stellig; is in dit vak zelden waar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Praktijkgewoonte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jouw organisatie doet</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Voelt vertrouwd, wijkt af van het boek</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meest voorkomende fout bij ervaren deelnemers</w:t>
            </w:r>
          </w:p>
          <w:p>
            <w:pPr>
              <w:spacing w:after="60" w:line="280"/>
            </w:pPr>
            <w:r>
              <w:rPr>
                <w:rFonts w:ascii="Calibri" w:cs="Calibri" w:eastAsia="Calibri" w:hAnsi="Calibri"/>
                <w:color w:val="0E1A1C"/>
                <w:sz w:val="20"/>
                <w:szCs w:val="20"/>
              </w:rPr>
              <w:t xml:space="preserve">De afleider "te ver vooruit". Wie tien jaar ervaring heeft, ziet meteen waar het naartoe moet en kiest de stap die hij zelf zou zetten. Het examen vraagt de vólgende stap. Vraag jezelf bij elke scenariovraag af: wat is er nog niet gebeurd dat eerst moet?</w:t>
            </w:r>
          </w:p>
        </w:tc>
      </w:tr>
    </w:tbl>
    <w:p>
      <w:pPr>
        <w:pStyle w:val="Heading1"/>
        <w:spacing w:after="200" w:before="420"/>
      </w:pPr>
      <w:r>
        <w:rPr>
          <w:rFonts w:ascii="Cambria" w:cs="Cambria" w:eastAsia="Cambria" w:hAnsi="Cambria"/>
          <w:b/>
          <w:bCs/>
          <w:color w:val="1B4A48"/>
          <w:sz w:val="34"/>
          <w:szCs w:val="34"/>
        </w:rPr>
        <w:t xml:space="preserve">7. Tijdsbudget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1200"/>
        <w:gridCol w:w="1900"/>
        <w:gridCol w:w="1700"/>
        <w:gridCol w:w="18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Examen</w:t>
            </w:r>
          </w:p>
        </w:tc>
        <w:tc>
          <w:tcPr>
            <w:tcW w:type="dxa" w:w="1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Vragen</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Per vraag</w:t>
            </w:r>
          </w:p>
        </w:tc>
        <w:tc>
          <w:tcPr>
            <w:tcW w:type="dxa" w:w="1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IJkpunt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CDMP Fundamentals</w:t>
            </w:r>
          </w:p>
        </w:tc>
        <w:tc>
          <w:tcPr>
            <w:tcW w:type="dxa" w:w="1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100</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minuten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54 seconden</w:t>
            </w:r>
          </w:p>
        </w:tc>
        <w:tc>
          <w:tcPr>
            <w:tcW w:type="dxa" w:w="1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vraag 50 rond de 45 minuten</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CDMP specialist</w:t>
            </w:r>
          </w:p>
        </w:tc>
        <w:tc>
          <w:tcPr>
            <w:tcW w:type="dxa" w:w="1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Zie de actuele opgave</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Zie de actuele opgave</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c>
          <w:tcPr>
            <w:tcW w:type="dxa" w:w="1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Bepaal het ijkpunt vooraf zelf</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IIBA-CBDA</w:t>
            </w:r>
          </w:p>
        </w:tc>
        <w:tc>
          <w:tcPr>
            <w:tcW w:type="dxa" w:w="1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120 minuten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96 seconden</w:t>
            </w:r>
          </w:p>
        </w:tc>
        <w:tc>
          <w:tcPr>
            <w:tcW w:type="dxa" w:w="1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vraag 38 rond de 60 minuten</w:t>
            </w:r>
          </w:p>
        </w:tc>
      </w:tr>
    </w:tbl>
    <w:p>
      <w:pPr>
        <w:spacing w:after="140"/>
      </w:pPr>
      <w:r>
        <w:t xml:space="preserve"/>
      </w:r>
    </w:p>
    <w:p>
      <w:pPr>
        <w:spacing w:after="140" w:line="288"/>
      </w:pPr>
      <w:r>
        <w:rPr>
          <w:rFonts w:ascii="Calibri" w:cs="Calibri" w:eastAsia="Calibri" w:hAnsi="Calibri"/>
          <w:color w:val="0E1A1C"/>
          <w:sz w:val="21"/>
          <w:szCs w:val="21"/>
        </w:rPr>
        <w:t xml:space="preserve">De CBDA lijkt ruimer maar is dat nauwelijks: de vragen zijn twee tot drie keer zo lang. Reken op een minuut lezen en een halve minuut kiezen. De drie-rondenstrategie uit deel 9 werkt hier net zo goed, met ruimere marges.</w:t>
      </w:r>
    </w:p>
    <w:p>
      <w:r>
        <w:br w:type="page"/>
      </w:r>
    </w:p>
    <w:p>
      <w:pPr>
        <w:pStyle w:val="Heading1"/>
        <w:spacing w:after="200" w:before="420"/>
      </w:pPr>
      <w:r>
        <w:rPr>
          <w:rFonts w:ascii="Cambria" w:cs="Cambria" w:eastAsia="Cambria" w:hAnsi="Cambria"/>
          <w:b/>
          <w:bCs/>
          <w:color w:val="1B4A48"/>
          <w:sz w:val="34"/>
          <w:szCs w:val="34"/>
        </w:rPr>
        <w:t xml:space="preserve">8. Studieplan over twee schema’s</w:t>
      </w:r>
    </w:p>
    <w:p>
      <w:pPr>
        <w:spacing w:after="140" w:line="288"/>
      </w:pPr>
      <w:r>
        <w:rPr>
          <w:rFonts w:ascii="Calibri" w:cs="Calibri" w:eastAsia="Calibri" w:hAnsi="Calibri"/>
          <w:color w:val="0E1A1C"/>
          <w:sz w:val="21"/>
          <w:szCs w:val="21"/>
        </w:rPr>
        <w:t xml:space="preserve">Het risico is dat het ene schema het andere verdringt — meestal verdringt de CDMP de CBDA, omdat de stof vertrouwder voelt. Een plan van twaalf weken voorkomt dat.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300"/>
        <w:gridCol w:w="4400"/>
        <w:gridCol w:w="3320"/>
      </w:tblGrid>
      <w:tr>
        <w:trPr>
          <w:tblHeader/>
        </w:trPr>
        <w:tc>
          <w:tcPr>
            <w:tcW w:type="dxa" w:w="1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Weken</w:t>
            </w:r>
          </w:p>
        </w:tc>
        <w:tc>
          <w:tcPr>
            <w:tcW w:type="dxa" w:w="4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Focus</w:t>
            </w:r>
          </w:p>
        </w:tc>
        <w:tc>
          <w:tcPr>
            <w:tcW w:type="dxa" w:w="33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Waarop je toetst</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tot 4</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specialismen, met de DMBOK-hoofdstukken en je eigen opdrachten</w:t>
            </w:r>
          </w:p>
        </w:tc>
        <w:tc>
          <w:tcPr>
            <w:tcW w:type="dxa" w:w="3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Proefvragen per specialisme</w:t>
            </w:r>
          </w:p>
        </w:tc>
      </w:tr>
      <w:tr>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Fundamentals opfrissen op de vier zware gebieden en de verwarparen</w:t>
            </w:r>
          </w:p>
        </w:tc>
        <w:tc>
          <w:tcPr>
            <w:tcW w:type="dxa" w:w="3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proefexamen op 70%-niveau</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drie CDMP-examens afleggen, verspreid over de week</w:t>
            </w:r>
          </w:p>
        </w:tc>
        <w:tc>
          <w:tcPr>
            <w:tcW w:type="dxa" w:w="3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r>
      <w:tr>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tot 10</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CBDA: de zes domeinen, met nadruk op 1, 2, 5 en 6</w:t>
            </w:r>
          </w:p>
        </w:tc>
        <w:tc>
          <w:tcPr>
            <w:tcW w:type="dxa" w:w="3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Scenariovragen, gesloten boek</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11</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Scenariotraining en tempo</w:t>
            </w:r>
          </w:p>
        </w:tc>
        <w:tc>
          <w:tcPr>
            <w:tcW w:type="dxa" w:w="3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volledig proefexamen in twee uur</w:t>
            </w:r>
          </w:p>
        </w:tc>
      </w:tr>
      <w:tr>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CBDA afleggen</w:t>
            </w:r>
          </w:p>
        </w:tc>
        <w:tc>
          <w:tcPr>
            <w:tcW w:type="dxa" w:w="3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r>
    </w:tbl>
    <w:p>
      <w:pPr>
        <w:spacing w:after="140"/>
      </w:pPr>
      <w:r>
        <w:t xml:space="preserve"/>
      </w:r>
    </w:p>
    <w:p>
      <w:pPr>
        <w:spacing w:after="140" w:line="288"/>
      </w:pPr>
      <w:r>
        <w:rPr>
          <w:rFonts w:ascii="Calibri" w:cs="Calibri" w:eastAsia="Calibri" w:hAnsi="Calibri"/>
          <w:color w:val="0E1A1C"/>
          <w:sz w:val="21"/>
          <w:szCs w:val="21"/>
        </w:rPr>
        <w:t xml:space="preserve">Wie minder tijd heeft, doet de CDMP-route eerst en stelt de CBDA een kwartaal uit. Beide tegelijk halveren is de enige variant die zelden werkt.</w:t>
      </w:r>
    </w:p>
    <w:p>
      <w:pPr>
        <w:pStyle w:val="Heading1"/>
        <w:spacing w:after="200" w:before="420"/>
      </w:pPr>
      <w:r>
        <w:rPr>
          <w:rFonts w:ascii="Cambria" w:cs="Cambria" w:eastAsia="Cambria" w:hAnsi="Cambria"/>
          <w:b/>
          <w:bCs/>
          <w:color w:val="1B4A48"/>
          <w:sz w:val="34"/>
          <w:szCs w:val="34"/>
        </w:rPr>
        <w:t xml:space="preserve">9. Het ervaringsdossier</w:t>
      </w:r>
    </w:p>
    <w:p>
      <w:pPr>
        <w:spacing w:after="140" w:line="288"/>
      </w:pPr>
      <w:r>
        <w:rPr>
          <w:rFonts w:ascii="Calibri" w:cs="Calibri" w:eastAsia="Calibri" w:hAnsi="Calibri"/>
          <w:color w:val="0E1A1C"/>
          <w:sz w:val="21"/>
          <w:szCs w:val="21"/>
        </w:rPr>
        <w:t xml:space="preserve">Practitioner vraagt ervaring, en Master vraagt een beoordeling daarvan. Begin nu met vastleggen; achteraf reconstrueren kost meer tijd en levert een zwakker dossier op.</w:t>
      </w:r>
    </w:p>
    <w:p>
      <w:pPr>
        <w:pStyle w:val="ListParagraph"/>
        <w:numPr>
          <w:ilvl w:val="0"/>
          <w:numId w:val="6"/>
        </w:numPr>
        <w:spacing w:after="70" w:line="280"/>
      </w:pPr>
      <w:r>
        <w:rPr>
          <w:rFonts w:ascii="Calibri" w:cs="Calibri" w:eastAsia="Calibri" w:hAnsi="Calibri"/>
          <w:color w:val="0E1A1C"/>
          <w:sz w:val="21"/>
          <w:szCs w:val="21"/>
        </w:rPr>
        <w:t xml:space="preserve">Leg per opdracht vast: periode, organisatie, jouw rol, en welk kennisgebied je raakte.</w:t>
      </w:r>
    </w:p>
    <w:p>
      <w:pPr>
        <w:pStyle w:val="ListParagraph"/>
        <w:numPr>
          <w:ilvl w:val="0"/>
          <w:numId w:val="6"/>
        </w:numPr>
        <w:spacing w:after="70" w:line="280"/>
      </w:pPr>
      <w:r>
        <w:rPr>
          <w:rFonts w:ascii="Calibri" w:cs="Calibri" w:eastAsia="Calibri" w:hAnsi="Calibri"/>
          <w:color w:val="0E1A1C"/>
          <w:sz w:val="21"/>
          <w:szCs w:val="21"/>
        </w:rPr>
        <w:t xml:space="preserve">Bewaar de artefacten die je hebt opgeleverd — geanonimiseerd waar dat moet. Een assessmentrapportage, een besluitrechtenmatrix, een meetplan.</w:t>
      </w:r>
    </w:p>
    <w:p>
      <w:pPr>
        <w:pStyle w:val="ListParagraph"/>
        <w:numPr>
          <w:ilvl w:val="0"/>
          <w:numId w:val="6"/>
        </w:numPr>
        <w:spacing w:after="70" w:line="280"/>
      </w:pPr>
      <w:r>
        <w:rPr>
          <w:rFonts w:ascii="Calibri" w:cs="Calibri" w:eastAsia="Calibri" w:hAnsi="Calibri"/>
          <w:color w:val="0E1A1C"/>
          <w:sz w:val="21"/>
          <w:szCs w:val="21"/>
        </w:rPr>
        <w:t xml:space="preserve">Noteer per artefact welk besluit erop is genomen. Dat is wat een beoordelaar zoekt: niet wat je hebt gemaakt maar wat het heeft veranderd.</w:t>
      </w:r>
    </w:p>
    <w:p>
      <w:pPr>
        <w:pStyle w:val="ListParagraph"/>
        <w:numPr>
          <w:ilvl w:val="0"/>
          <w:numId w:val="6"/>
        </w:numPr>
        <w:spacing w:after="70" w:line="280"/>
      </w:pPr>
      <w:r>
        <w:rPr>
          <w:rFonts w:ascii="Calibri" w:cs="Calibri" w:eastAsia="Calibri" w:hAnsi="Calibri"/>
          <w:color w:val="0E1A1C"/>
          <w:sz w:val="21"/>
          <w:szCs w:val="21"/>
        </w:rPr>
        <w:t xml:space="preserve">Houd bij welke opdrachten aansluiten op je twee gekozen specialismen; die wegen het zwaarst.</w:t>
      </w:r>
    </w:p>
    <w:p>
      <w:pPr>
        <w:pStyle w:val="ListParagraph"/>
        <w:numPr>
          <w:ilvl w:val="0"/>
          <w:numId w:val="6"/>
        </w:numPr>
        <w:spacing w:after="70" w:line="280"/>
      </w:pPr>
      <w:r>
        <w:rPr>
          <w:rFonts w:ascii="Calibri" w:cs="Calibri" w:eastAsia="Calibri" w:hAnsi="Calibri"/>
          <w:color w:val="0E1A1C"/>
          <w:sz w:val="21"/>
          <w:szCs w:val="21"/>
        </w:rPr>
        <w:t xml:space="preserve">De capstone van deel 21 is bedoeld als portfoliostuk. Bewaar hem inclusief de feedback.</w:t>
      </w:r>
    </w:p>
    <w:p>
      <w:pPr>
        <w:pStyle w:val="Heading1"/>
        <w:spacing w:after="200" w:before="420"/>
      </w:pPr>
      <w:r>
        <w:rPr>
          <w:rFonts w:ascii="Cambria" w:cs="Cambria" w:eastAsia="Cambria" w:hAnsi="Cambria"/>
          <w:b/>
          <w:bCs/>
          <w:color w:val="1B4A48"/>
          <w:sz w:val="34"/>
          <w:szCs w:val="34"/>
        </w:rPr>
        <w:t xml:space="preserve">10. Na afloop</w:t>
      </w:r>
    </w:p>
    <w:p>
      <w:pPr>
        <w:pStyle w:val="ListParagraph"/>
        <w:numPr>
          <w:ilvl w:val="0"/>
          <w:numId w:val="3"/>
        </w:numPr>
        <w:spacing w:after="70" w:line="280"/>
      </w:pPr>
      <w:r>
        <w:rPr>
          <w:rFonts w:ascii="Calibri" w:cs="Calibri" w:eastAsia="Calibri" w:hAnsi="Calibri"/>
          <w:color w:val="0E1A1C"/>
          <w:sz w:val="21"/>
          <w:szCs w:val="21"/>
        </w:rPr>
        <w:t xml:space="preserve">Bij Practitioner: je bent halverwege de route naar Master. Die vraagt 80 procent op drie examens plus een ervaringsbeoordeling — dat is niveau 3.</w:t>
      </w:r>
    </w:p>
    <w:p>
      <w:pPr>
        <w:pStyle w:val="ListParagraph"/>
        <w:numPr>
          <w:ilvl w:val="0"/>
          <w:numId w:val="3"/>
        </w:numPr>
        <w:spacing w:after="70" w:line="280"/>
      </w:pPr>
      <w:r>
        <w:rPr>
          <w:rFonts w:ascii="Calibri" w:cs="Calibri" w:eastAsia="Calibri" w:hAnsi="Calibri"/>
          <w:color w:val="0E1A1C"/>
          <w:sz w:val="21"/>
          <w:szCs w:val="21"/>
        </w:rPr>
        <w:t xml:space="preserve">Bij CBDA: je hebt een certificering die in de business-analysehoek breder wordt herkend dan de CDMP. De combinatie van beide is zeldzaam en onderscheidend.</w:t>
      </w:r>
    </w:p>
    <w:p>
      <w:pPr>
        <w:pStyle w:val="ListParagraph"/>
        <w:numPr>
          <w:ilvl w:val="0"/>
          <w:numId w:val="3"/>
        </w:numPr>
        <w:spacing w:after="70" w:line="280"/>
      </w:pPr>
      <w:r>
        <w:rPr>
          <w:rFonts w:ascii="Calibri" w:cs="Calibri" w:eastAsia="Calibri" w:hAnsi="Calibri"/>
          <w:color w:val="0E1A1C"/>
          <w:sz w:val="21"/>
          <w:szCs w:val="21"/>
        </w:rPr>
        <w:t xml:space="preserve">Hercertificering: beide schema’s vragen periodieke verlenging. Zet de herinneringen meteen in je agenda; dat is de meest voorkomende reden dat mensen hun titel verliezen.</w:t>
      </w:r>
    </w:p>
    <w:p>
      <w:pPr>
        <w:pStyle w:val="ListParagraph"/>
        <w:numPr>
          <w:ilvl w:val="0"/>
          <w:numId w:val="3"/>
        </w:numPr>
        <w:spacing w:after="70" w:line="280"/>
      </w:pPr>
      <w:r>
        <w:rPr>
          <w:rFonts w:ascii="Calibri" w:cs="Calibri" w:eastAsia="Calibri" w:hAnsi="Calibri"/>
          <w:color w:val="0E1A1C"/>
          <w:sz w:val="21"/>
          <w:szCs w:val="21"/>
        </w:rPr>
        <w:t xml:space="preserve">Bewaar beide scorerapporten. Ze zijn de basis voor je studieplan richting Master in deel 28.</w:t>
      </w:r>
    </w:p>
    <w:p>
      <w:pPr>
        <w:pStyle w:val="Heading1"/>
        <w:spacing w:after="200" w:before="420"/>
      </w:pPr>
      <w:r>
        <w:rPr>
          <w:rFonts w:ascii="Cambria" w:cs="Cambria" w:eastAsia="Cambria" w:hAnsi="Cambria"/>
          <w:b/>
          <w:bCs/>
          <w:color w:val="1B4A48"/>
          <w:sz w:val="34"/>
          <w:szCs w:val="34"/>
        </w:rPr>
        <w:t xml:space="preserve">11. Studiemateriaal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Bij dit deel</w:t>
            </w:r>
          </w:p>
          <w:p>
            <w:pPr>
              <w:spacing w:after="60" w:line="280"/>
            </w:pPr>
            <w:r>
              <w:rPr>
                <w:rFonts w:ascii="Calibri" w:cs="Calibri" w:eastAsia="Calibri" w:hAnsi="Calibri"/>
                <w:color w:val="0E1A1C"/>
                <w:sz w:val="20"/>
                <w:szCs w:val="20"/>
              </w:rPr>
              <w:t xml:space="preserve">CDMP: de DAMA-DMBOK2 Revised Edition, het enige toegestane hulpmiddel. Examenopzet, kosten en de actuele lijst met specialistexamens: cdmp.info/exams en dama.org/certification.</w:t>
            </w:r>
          </w:p>
          <w:p>
            <w:pPr>
              <w:spacing w:after="60" w:line="280"/>
            </w:pPr>
            <w:r>
              <w:rPr>
                <w:rFonts w:ascii="Calibri" w:cs="Calibri" w:eastAsia="Calibri" w:hAnsi="Calibri"/>
                <w:color w:val="0E1A1C"/>
                <w:sz w:val="20"/>
                <w:szCs w:val="20"/>
              </w:rPr>
              <w:t xml:space="preserve">CBDA: de Guide to Business Data Analytics van IIBA, het certificeringshandboek, de officiële voorbeeldvragen en het exam blueprint met de domeinweging: iiba.org.</w:t>
            </w:r>
          </w:p>
          <w:p>
            <w:pPr>
              <w:spacing w:after="60" w:line="280"/>
            </w:pPr>
            <w:r>
              <w:rPr>
                <w:rFonts w:ascii="Calibri" w:cs="Calibri" w:eastAsia="Calibri" w:hAnsi="Calibri"/>
                <w:color w:val="0E1A1C"/>
                <w:sz w:val="20"/>
                <w:szCs w:val="20"/>
              </w:rPr>
              <w:t xml:space="preserve">De proefvragen in dit deel zijn door Ductus opgesteld. Het zijn geen examenvragen en ze zijn niet ontleend aan officieel examenmateriaal; ze trainen het vraagtype en het tempo.</w:t>
            </w:r>
          </w:p>
          <w:p>
            <w:pPr>
              <w:spacing w:after="60" w:line="280"/>
            </w:pPr>
            <w:r>
              <w:rPr>
                <w:rFonts w:ascii="Calibri" w:cs="Calibri" w:eastAsia="Calibri" w:hAnsi="Calibri"/>
                <w:color w:val="0E1A1C"/>
                <w:sz w:val="20"/>
                <w:szCs w:val="20"/>
              </w:rPr>
              <w:t xml:space="preserve">Ductus is niet gelieerd aan of geaccrediteerd door DAMA International of IIBA. 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20 — Examentraining Practitioner en CBDA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Practitioner en CBDA — Deelnemersreader</dc:title>
  <dc:creator>Ductus B.V.</dc:creator>
  <dc:description>Cursusmateriaal datamanagement, data-analyse en data governance</dc:description>
  <cp:lastModifiedBy>Un-named</cp:lastModifiedBy>
  <cp:revision>1</cp:revision>
  <dcterms:created xsi:type="dcterms:W3CDTF">2026-08-05T12:05:56.800Z</dcterms:created>
  <dcterms:modified xsi:type="dcterms:W3CDTF">2026-08-05T12:05:56.800Z</dcterms:modified>
</cp:coreProperties>
</file>

<file path=docProps/custom.xml><?xml version="1.0" encoding="utf-8"?>
<Properties xmlns="http://schemas.openxmlformats.org/officeDocument/2006/custom-properties" xmlns:vt="http://schemas.openxmlformats.org/officeDocument/2006/docPropsVTypes"/>
</file>