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22</w:t>
      </w:r>
    </w:p>
    <w:p>
      <w:pPr>
        <w:spacing w:after="120"/>
      </w:pPr>
      <w:r>
        <w:rPr>
          <w:rFonts w:ascii="Cambria" w:cs="Cambria" w:eastAsia="Cambria" w:hAnsi="Cambria"/>
          <w:b/>
          <w:bCs/>
          <w:color w:val="0E1A1C"/>
          <w:sz w:val="56"/>
          <w:szCs w:val="56"/>
        </w:rPr>
        <w:t xml:space="preserve">Enterprise data-architectuur</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Landschapsplaten van beide organisaties, principekaarten, conflictdossier</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22 gelezen; niveau 2 afgerond, of toegelaten op basis van een instapgesprek over het ervaringsdossier.</w:t>
      </w:r>
    </w:p>
    <w:p>
      <w:pPr>
        <w:pStyle w:val="ListParagraph"/>
        <w:numPr>
          <w:ilvl w:val="0"/>
          <w:numId w:val="2"/>
        </w:numPr>
        <w:spacing w:after="70" w:line="280"/>
      </w:pPr>
      <w:r>
        <w:rPr>
          <w:rFonts w:ascii="Calibri" w:cs="Calibri" w:eastAsia="Calibri" w:hAnsi="Calibri"/>
          <w:color w:val="0E1A1C"/>
          <w:sz w:val="21"/>
          <w:szCs w:val="21"/>
        </w:rPr>
        <w:t xml:space="preserve">Opdracht 1 en 2 gemaakt, en een eigen architectuurbesluit meegenomen dat verkeerd uitpakte. Vraag daar bij binnenkomst naar; deelnemers die niets meenemen, missen de kern van opdracht 7.</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Landschapsplaten van Meridiaan en Nautilus, met bewust ongelijke detaillering — Nautilus documenteert beter, Meridiaan heeft meer systemen. Verwerk drie overlappen die volledig lijken en het niet zijn.</w:t>
      </w:r>
    </w:p>
    <w:p>
      <w:pPr>
        <w:pStyle w:val="ListParagraph"/>
        <w:numPr>
          <w:ilvl w:val="0"/>
          <w:numId w:val="2"/>
        </w:numPr>
        <w:spacing w:after="70" w:line="280"/>
      </w:pPr>
      <w:r>
        <w:rPr>
          <w:rFonts w:ascii="Calibri" w:cs="Calibri" w:eastAsia="Calibri" w:hAnsi="Calibri"/>
          <w:color w:val="0E1A1C"/>
          <w:sz w:val="21"/>
          <w:szCs w:val="21"/>
        </w:rPr>
        <w:t xml:space="preserve">Twee principesets: negen van Meridiaan en zestien van Nautilus, met zes tegenspraken waarvan er twee subtiel zijn.</w:t>
      </w:r>
    </w:p>
    <w:p>
      <w:pPr>
        <w:pStyle w:val="ListParagraph"/>
        <w:numPr>
          <w:ilvl w:val="0"/>
          <w:numId w:val="2"/>
        </w:numPr>
        <w:spacing w:after="70" w:line="280"/>
      </w:pPr>
      <w:r>
        <w:rPr>
          <w:rFonts w:ascii="Calibri" w:cs="Calibri" w:eastAsia="Calibri" w:hAnsi="Calibri"/>
          <w:color w:val="0E1A1C"/>
          <w:sz w:val="21"/>
          <w:szCs w:val="21"/>
        </w:rPr>
        <w:t xml:space="preserve">Het conflictdossier met negentien kernbegrippen, waarvan er vijf alleen in naamgeving verschillen en veertien semantisch.</w:t>
      </w:r>
    </w:p>
    <w:p>
      <w:pPr>
        <w:pStyle w:val="ListParagraph"/>
        <w:numPr>
          <w:ilvl w:val="0"/>
          <w:numId w:val="2"/>
        </w:numPr>
        <w:spacing w:after="70" w:line="280"/>
      </w:pPr>
      <w:r>
        <w:rPr>
          <w:rFonts w:ascii="Calibri" w:cs="Calibri" w:eastAsia="Calibri" w:hAnsi="Calibri"/>
          <w:color w:val="0E1A1C"/>
          <w:sz w:val="21"/>
          <w:szCs w:val="21"/>
        </w:rPr>
        <w:t xml:space="preserve">Een beheerkennisoverzicht per systeem, met de reorganisatiegevolgen erin verwerkt.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is het openingsdeel van niveau 3 en het zet de schaal: van één opdracht naar een programma, van één organisatie naar twee landschappen. Deel 23 bouwt erop voort met de platformkeuze, deel 25 met de governance die dit moet volhouden. De fusiecasus loopt door het hele niveau en eindigt in de masterproef van deel 29.</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Meridiaan drie jaar later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Zet de nieuwe situatie neer; de kleinere partij is volwassener — dat verrast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Landschap en capabilities,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koppelingstelling is het argument dat blijft hangen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principes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uitsluitingstoets; de meeste principes sneuvelen daarop</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1:55–3:05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bron van waarheid</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de volgorde af: definitie, bron, migratie</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3:05–4:05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rationalisatie</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politieke dilemma is de echte opdracht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4:05–4:55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migratiestrategie</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het verplaatste risico expliciet benoemen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4:55–5:00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Landschapsinventarisatie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Overlap per domein in kaart, met een inschatting van de volledigheid — de drie schijnbaar volledige overlappen herkend als deels.</w:t>
      </w:r>
    </w:p>
    <w:p>
      <w:pPr>
        <w:pStyle w:val="ListParagraph"/>
        <w:numPr>
          <w:ilvl w:val="0"/>
          <w:numId w:val="2"/>
        </w:numPr>
        <w:spacing w:after="70" w:line="280"/>
      </w:pPr>
      <w:r>
        <w:rPr>
          <w:rFonts w:ascii="Calibri" w:cs="Calibri" w:eastAsia="Calibri" w:hAnsi="Calibri"/>
          <w:color w:val="0E1A1C"/>
          <w:sz w:val="21"/>
          <w:szCs w:val="21"/>
        </w:rPr>
        <w:t xml:space="preserve">Koppelingstelling voor en na, met de constatering dat het aantal koppelingen sneller groeit dan het aantal systemen.</w:t>
      </w:r>
    </w:p>
    <w:p>
      <w:pPr>
        <w:pStyle w:val="ListParagraph"/>
        <w:numPr>
          <w:ilvl w:val="0"/>
          <w:numId w:val="2"/>
        </w:numPr>
        <w:spacing w:after="70" w:line="280"/>
      </w:pPr>
      <w:r>
        <w:rPr>
          <w:rFonts w:ascii="Calibri" w:cs="Calibri" w:eastAsia="Calibri" w:hAnsi="Calibri"/>
          <w:color w:val="0E1A1C"/>
          <w:sz w:val="21"/>
          <w:szCs w:val="21"/>
        </w:rPr>
        <w:t xml:space="preserve">De drie systemen met de smalste beheerkennis gemarkeerd.</w:t>
      </w:r>
    </w:p>
    <w:p>
      <w:pPr>
        <w:pStyle w:val="ListParagraph"/>
        <w:numPr>
          <w:ilvl w:val="0"/>
          <w:numId w:val="2"/>
        </w:numPr>
        <w:spacing w:after="70" w:line="280"/>
      </w:pPr>
      <w:r>
        <w:rPr>
          <w:rFonts w:ascii="Calibri" w:cs="Calibri" w:eastAsia="Calibri" w:hAnsi="Calibri"/>
          <w:color w:val="0E1A1C"/>
          <w:sz w:val="21"/>
          <w:szCs w:val="21"/>
        </w:rPr>
        <w:t xml:space="preserve">Risico’s die verder gaan dan "het wordt complexer".</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Overlap als volledig aannemen. De rest bepaalt de kosten.</w:t>
      </w:r>
    </w:p>
    <w:p>
      <w:pPr>
        <w:pStyle w:val="ListParagraph"/>
        <w:numPr>
          <w:ilvl w:val="0"/>
          <w:numId w:val="2"/>
        </w:numPr>
        <w:spacing w:after="70" w:line="280"/>
      </w:pPr>
      <w:r>
        <w:rPr>
          <w:rFonts w:ascii="Calibri" w:cs="Calibri" w:eastAsia="Calibri" w:hAnsi="Calibri"/>
          <w:color w:val="0E1A1C"/>
          <w:sz w:val="21"/>
          <w:szCs w:val="21"/>
        </w:rPr>
        <w:t xml:space="preserve">De koppelingen niet tellen; dan mist het argument dat de board begrijpt.</w:t>
      </w:r>
    </w:p>
    <w:p>
      <w:pPr>
        <w:pStyle w:val="ListParagraph"/>
        <w:numPr>
          <w:ilvl w:val="0"/>
          <w:numId w:val="2"/>
        </w:numPr>
        <w:spacing w:after="70" w:line="280"/>
      </w:pPr>
      <w:r>
        <w:rPr>
          <w:rFonts w:ascii="Calibri" w:cs="Calibri" w:eastAsia="Calibri" w:hAnsi="Calibri"/>
          <w:color w:val="0E1A1C"/>
          <w:sz w:val="21"/>
          <w:szCs w:val="21"/>
        </w:rPr>
        <w:t xml:space="preserve">Beheerkennis buiten beschouwing laten.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koppelingen komen erbij als je niets rationaliseert? En wat kost dat aan beheer?</w:t>
            </w:r>
          </w:p>
        </w:tc>
      </w:tr>
    </w:tbl>
    <w:p>
      <w:pPr>
        <w:pStyle w:val="Heading2"/>
        <w:spacing w:after="140" w:before="340"/>
      </w:pPr>
      <w:r>
        <w:rPr>
          <w:rFonts w:ascii="Cambria" w:cs="Cambria" w:eastAsia="Cambria" w:hAnsi="Cambria"/>
          <w:b/>
          <w:bCs/>
          <w:color w:val="0E1A1C"/>
          <w:sz w:val="26"/>
          <w:szCs w:val="26"/>
        </w:rPr>
        <w:t xml:space="preserve">Opdracht 2 — Capability-map</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Acht tot twaalf capabilities in bedrijfstaal, niet in systeemnamen.</w:t>
      </w:r>
    </w:p>
    <w:p>
      <w:pPr>
        <w:pStyle w:val="ListParagraph"/>
        <w:numPr>
          <w:ilvl w:val="0"/>
          <w:numId w:val="2"/>
        </w:numPr>
        <w:spacing w:after="70" w:line="280"/>
      </w:pPr>
      <w:r>
        <w:rPr>
          <w:rFonts w:ascii="Calibri" w:cs="Calibri" w:eastAsia="Calibri" w:hAnsi="Calibri"/>
          <w:color w:val="0E1A1C"/>
          <w:sz w:val="21"/>
          <w:szCs w:val="21"/>
        </w:rPr>
        <w:t xml:space="preserve">Informatiebehoefte per capability, afgeleid en niet overgenomen uit bestaande rapportages.</w:t>
      </w:r>
    </w:p>
    <w:p>
      <w:pPr>
        <w:pStyle w:val="ListParagraph"/>
        <w:numPr>
          <w:ilvl w:val="0"/>
          <w:numId w:val="2"/>
        </w:numPr>
        <w:spacing w:after="70" w:line="280"/>
      </w:pPr>
      <w:r>
        <w:rPr>
          <w:rFonts w:ascii="Calibri" w:cs="Calibri" w:eastAsia="Calibri" w:hAnsi="Calibri"/>
          <w:color w:val="0E1A1C"/>
          <w:sz w:val="21"/>
          <w:szCs w:val="21"/>
        </w:rPr>
        <w:t xml:space="preserve">Verantwoording over de gecombineerde portefeuille herkend als capability zonder bron.</w:t>
      </w:r>
    </w:p>
    <w:p>
      <w:pPr>
        <w:pStyle w:val="ListParagraph"/>
        <w:numPr>
          <w:ilvl w:val="0"/>
          <w:numId w:val="2"/>
        </w:numPr>
        <w:spacing w:after="70" w:line="280"/>
      </w:pPr>
      <w:r>
        <w:rPr>
          <w:rFonts w:ascii="Calibri" w:cs="Calibri" w:eastAsia="Calibri" w:hAnsi="Calibri"/>
          <w:color w:val="0E1A1C"/>
          <w:sz w:val="21"/>
          <w:szCs w:val="21"/>
        </w:rPr>
        <w:t xml:space="preserve">Bronkandidaten per domein, met erkenning dat er twee zijn.</w:t>
      </w:r>
    </w:p>
    <w:p>
      <w:pPr>
        <w:pStyle w:val="ListParagraph"/>
        <w:numPr>
          <w:ilvl w:val="0"/>
          <w:numId w:val="2"/>
        </w:numPr>
        <w:spacing w:after="70" w:line="280"/>
      </w:pPr>
      <w:r>
        <w:rPr>
          <w:rFonts w:ascii="Calibri" w:cs="Calibri" w:eastAsia="Calibri" w:hAnsi="Calibri"/>
          <w:color w:val="0E1A1C"/>
          <w:sz w:val="21"/>
          <w:szCs w:val="21"/>
        </w:rPr>
        <w:t xml:space="preserve">Het gevolg van niets doen benoemd, met de fusiedatum als deadline.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Capabilities benoemen die eigenlijk systemen zijn.</w:t>
      </w:r>
    </w:p>
    <w:p>
      <w:pPr>
        <w:pStyle w:val="ListParagraph"/>
        <w:numPr>
          <w:ilvl w:val="0"/>
          <w:numId w:val="2"/>
        </w:numPr>
        <w:spacing w:after="70" w:line="280"/>
      </w:pPr>
      <w:r>
        <w:rPr>
          <w:rFonts w:ascii="Calibri" w:cs="Calibri" w:eastAsia="Calibri" w:hAnsi="Calibri"/>
          <w:color w:val="0E1A1C"/>
          <w:sz w:val="21"/>
          <w:szCs w:val="21"/>
        </w:rPr>
        <w:t xml:space="preserve">De gaten overslaan; dat is de opbrengst van de opdracht.</w:t>
      </w:r>
    </w:p>
    <w:p>
      <w:pPr>
        <w:pStyle w:val="ListParagraph"/>
        <w:numPr>
          <w:ilvl w:val="0"/>
          <w:numId w:val="2"/>
        </w:numPr>
        <w:spacing w:after="70" w:line="280"/>
      </w:pPr>
      <w:r>
        <w:rPr>
          <w:rFonts w:ascii="Calibri" w:cs="Calibri" w:eastAsia="Calibri" w:hAnsi="Calibri"/>
          <w:color w:val="0E1A1C"/>
          <w:sz w:val="21"/>
          <w:szCs w:val="21"/>
        </w:rPr>
        <w:t xml:space="preserve">Aannemen dat de bestaande rapportages de informatiebehoefte dekken.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capability heeft na de fusie geen aanwijsbare bron? En wie vraagt daar als eerste naar?</w:t>
            </w:r>
          </w:p>
        </w:tc>
      </w:tr>
    </w:tbl>
    <w:p>
      <w:pPr>
        <w:pStyle w:val="Heading2"/>
        <w:spacing w:after="140" w:before="340"/>
      </w:pPr>
      <w:r>
        <w:rPr>
          <w:rFonts w:ascii="Cambria" w:cs="Cambria" w:eastAsia="Cambria" w:hAnsi="Cambria"/>
          <w:b/>
          <w:bCs/>
          <w:color w:val="0E1A1C"/>
          <w:sz w:val="26"/>
          <w:szCs w:val="26"/>
        </w:rPr>
        <w:t xml:space="preserve">Opdracht 3 — Principes schrijven en toetsen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uitsluitingstoets consequent toegepast; doorgaans sneuvelt ruim de helft van de 25.</w:t>
      </w:r>
    </w:p>
    <w:p>
      <w:pPr>
        <w:pStyle w:val="ListParagraph"/>
        <w:numPr>
          <w:ilvl w:val="0"/>
          <w:numId w:val="2"/>
        </w:numPr>
        <w:spacing w:after="70" w:line="280"/>
      </w:pPr>
      <w:r>
        <w:rPr>
          <w:rFonts w:ascii="Calibri" w:cs="Calibri" w:eastAsia="Calibri" w:hAnsi="Calibri"/>
          <w:color w:val="0E1A1C"/>
          <w:sz w:val="21"/>
          <w:szCs w:val="21"/>
        </w:rPr>
        <w:t xml:space="preserve">Alle zes tegenspraken gevonden, inclusief de twee subtiele.</w:t>
      </w:r>
    </w:p>
    <w:p>
      <w:pPr>
        <w:pStyle w:val="ListParagraph"/>
        <w:numPr>
          <w:ilvl w:val="0"/>
          <w:numId w:val="2"/>
        </w:numPr>
        <w:spacing w:after="70" w:line="280"/>
      </w:pPr>
      <w:r>
        <w:rPr>
          <w:rFonts w:ascii="Calibri" w:cs="Calibri" w:eastAsia="Calibri" w:hAnsi="Calibri"/>
          <w:color w:val="0E1A1C"/>
          <w:sz w:val="21"/>
          <w:szCs w:val="21"/>
        </w:rPr>
        <w:t xml:space="preserve">Een gecombineerde set van maximaal acht.</w:t>
      </w:r>
    </w:p>
    <w:p>
      <w:pPr>
        <w:pStyle w:val="ListParagraph"/>
        <w:numPr>
          <w:ilvl w:val="0"/>
          <w:numId w:val="2"/>
        </w:numPr>
        <w:spacing w:after="70" w:line="280"/>
      </w:pPr>
      <w:r>
        <w:rPr>
          <w:rFonts w:ascii="Calibri" w:cs="Calibri" w:eastAsia="Calibri" w:hAnsi="Calibri"/>
          <w:color w:val="0E1A1C"/>
          <w:sz w:val="21"/>
          <w:szCs w:val="21"/>
        </w:rPr>
        <w:t xml:space="preserve">Drie volledig uitgewerkte principes met implicaties én uitzonderingsregime.</w:t>
      </w:r>
    </w:p>
    <w:p>
      <w:pPr>
        <w:pStyle w:val="ListParagraph"/>
        <w:numPr>
          <w:ilvl w:val="0"/>
          <w:numId w:val="2"/>
        </w:numPr>
        <w:spacing w:after="70" w:line="280"/>
      </w:pPr>
      <w:r>
        <w:rPr>
          <w:rFonts w:ascii="Calibri" w:cs="Calibri" w:eastAsia="Calibri" w:hAnsi="Calibri"/>
          <w:color w:val="0E1A1C"/>
          <w:sz w:val="21"/>
          <w:szCs w:val="21"/>
        </w:rPr>
        <w:t xml:space="preserve">Een uitleg aan beide directies die de tegenspraak benoemt in plaats van gladstrijkt.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 25 behouden en herformuleren. Vraag wie er acht kan opnoemen.</w:t>
      </w:r>
    </w:p>
    <w:p>
      <w:pPr>
        <w:pStyle w:val="ListParagraph"/>
        <w:numPr>
          <w:ilvl w:val="0"/>
          <w:numId w:val="2"/>
        </w:numPr>
        <w:spacing w:after="70" w:line="280"/>
      </w:pPr>
      <w:r>
        <w:rPr>
          <w:rFonts w:ascii="Calibri" w:cs="Calibri" w:eastAsia="Calibri" w:hAnsi="Calibri"/>
          <w:color w:val="0E1A1C"/>
          <w:sz w:val="21"/>
          <w:szCs w:val="21"/>
        </w:rPr>
        <w:t xml:space="preserve">De tegenspraken oplossen met een formulering die beide kanten kunnen lezen zoals ze willen.</w:t>
      </w:r>
    </w:p>
    <w:p>
      <w:pPr>
        <w:pStyle w:val="ListParagraph"/>
        <w:numPr>
          <w:ilvl w:val="0"/>
          <w:numId w:val="2"/>
        </w:numPr>
        <w:spacing w:after="70" w:line="280"/>
      </w:pPr>
      <w:r>
        <w:rPr>
          <w:rFonts w:ascii="Calibri" w:cs="Calibri" w:eastAsia="Calibri" w:hAnsi="Calibri"/>
          <w:color w:val="0E1A1C"/>
          <w:sz w:val="21"/>
          <w:szCs w:val="21"/>
        </w:rPr>
        <w:t xml:space="preserve">Implicaties weglaten; dan wordt het principe genegeerd.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voorstel van vorig jaar zou door jouw principe zijn afgewezen? Kun je er één noemen?</w:t>
            </w:r>
          </w:p>
        </w:tc>
      </w:tr>
    </w:tbl>
    <w:p>
      <w:pPr>
        <w:pStyle w:val="Heading2"/>
        <w:spacing w:after="140" w:before="340"/>
      </w:pPr>
      <w:r>
        <w:rPr>
          <w:rFonts w:ascii="Cambria" w:cs="Cambria" w:eastAsia="Cambria" w:hAnsi="Cambria"/>
          <w:b/>
          <w:bCs/>
          <w:color w:val="0E1A1C"/>
          <w:sz w:val="26"/>
          <w:szCs w:val="26"/>
        </w:rPr>
        <w:t xml:space="preserve">Opdracht 4 — Bron-van-waarheidconflicten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Onderscheid tussen de vijf naamgevingsverschillen en de veertien semantische.</w:t>
      </w:r>
    </w:p>
    <w:p>
      <w:pPr>
        <w:pStyle w:val="ListParagraph"/>
        <w:numPr>
          <w:ilvl w:val="0"/>
          <w:numId w:val="2"/>
        </w:numPr>
        <w:spacing w:after="70" w:line="280"/>
      </w:pPr>
      <w:r>
        <w:rPr>
          <w:rFonts w:ascii="Calibri" w:cs="Calibri" w:eastAsia="Calibri" w:hAnsi="Calibri"/>
          <w:color w:val="0E1A1C"/>
          <w:sz w:val="21"/>
          <w:szCs w:val="21"/>
        </w:rPr>
        <w:t xml:space="preserve">Per begrip een beslechte definitie met argument, niet een compromis.</w:t>
      </w:r>
    </w:p>
    <w:p>
      <w:pPr>
        <w:pStyle w:val="ListParagraph"/>
        <w:numPr>
          <w:ilvl w:val="0"/>
          <w:numId w:val="2"/>
        </w:numPr>
        <w:spacing w:after="70" w:line="280"/>
      </w:pPr>
      <w:r>
        <w:rPr>
          <w:rFonts w:ascii="Calibri" w:cs="Calibri" w:eastAsia="Calibri" w:hAnsi="Calibri"/>
          <w:color w:val="0E1A1C"/>
          <w:sz w:val="21"/>
          <w:szCs w:val="21"/>
        </w:rPr>
        <w:t xml:space="preserve">Bronkeuze met een expliciet criterium, per gegeven en niet per systeem.</w:t>
      </w:r>
    </w:p>
    <w:p>
      <w:pPr>
        <w:pStyle w:val="ListParagraph"/>
        <w:numPr>
          <w:ilvl w:val="0"/>
          <w:numId w:val="2"/>
        </w:numPr>
        <w:spacing w:after="70" w:line="280"/>
      </w:pPr>
      <w:r>
        <w:rPr>
          <w:rFonts w:ascii="Calibri" w:cs="Calibri" w:eastAsia="Calibri" w:hAnsi="Calibri"/>
          <w:color w:val="0E1A1C"/>
          <w:sz w:val="21"/>
          <w:szCs w:val="21"/>
        </w:rPr>
        <w:t xml:space="preserve">De gevallen gemarkeerd waar definitiekeuze en bronkeuze uiteenlopen.</w:t>
      </w:r>
    </w:p>
    <w:p>
      <w:pPr>
        <w:pStyle w:val="ListParagraph"/>
        <w:numPr>
          <w:ilvl w:val="0"/>
          <w:numId w:val="2"/>
        </w:numPr>
        <w:spacing w:after="70" w:line="280"/>
      </w:pPr>
      <w:r>
        <w:rPr>
          <w:rFonts w:ascii="Calibri" w:cs="Calibri" w:eastAsia="Calibri" w:hAnsi="Calibri"/>
          <w:color w:val="0E1A1C"/>
          <w:sz w:val="21"/>
          <w:szCs w:val="21"/>
        </w:rPr>
        <w:t xml:space="preserve">De volgorde definitie-bron-migratie expliciet verantwoord.</w:t>
      </w:r>
    </w:p>
    <w:p>
      <w:pPr>
        <w:pStyle w:val="ListParagraph"/>
        <w:numPr>
          <w:ilvl w:val="0"/>
          <w:numId w:val="2"/>
        </w:numPr>
        <w:spacing w:after="70" w:line="280"/>
      </w:pPr>
      <w:r>
        <w:rPr>
          <w:rFonts w:ascii="Calibri" w:cs="Calibri" w:eastAsia="Calibri" w:hAnsi="Calibri"/>
          <w:color w:val="0E1A1C"/>
          <w:sz w:val="21"/>
          <w:szCs w:val="21"/>
        </w:rPr>
        <w:t xml:space="preserve">De weerstand voorspeld, met de partij erbij.</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Per systeem kiezen. Vraag wat je dan weggooit van de andere kant.</w:t>
      </w:r>
    </w:p>
    <w:p>
      <w:pPr>
        <w:pStyle w:val="ListParagraph"/>
        <w:numPr>
          <w:ilvl w:val="0"/>
          <w:numId w:val="2"/>
        </w:numPr>
        <w:spacing w:after="70" w:line="280"/>
      </w:pPr>
      <w:r>
        <w:rPr>
          <w:rFonts w:ascii="Calibri" w:cs="Calibri" w:eastAsia="Calibri" w:hAnsi="Calibri"/>
          <w:color w:val="0E1A1C"/>
          <w:sz w:val="21"/>
          <w:szCs w:val="21"/>
        </w:rPr>
        <w:t xml:space="preserve">Definities verenigen in plaats van beslechten — dezelfde fout als in deel 13.</w:t>
      </w:r>
    </w:p>
    <w:p>
      <w:pPr>
        <w:pStyle w:val="ListParagraph"/>
        <w:numPr>
          <w:ilvl w:val="0"/>
          <w:numId w:val="2"/>
        </w:numPr>
        <w:spacing w:after="70" w:line="280"/>
      </w:pPr>
      <w:r>
        <w:rPr>
          <w:rFonts w:ascii="Calibri" w:cs="Calibri" w:eastAsia="Calibri" w:hAnsi="Calibri"/>
          <w:color w:val="0E1A1C"/>
          <w:sz w:val="21"/>
          <w:szCs w:val="21"/>
        </w:rPr>
        <w:t xml:space="preserve">De volgorde omdraaien en eerst de migratie plannen.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Bij welk begrip wijst de definitiekeuze naar Nautilus en de bronkeuze naar Meridiaan? Wat doe je dan?</w:t>
            </w:r>
          </w:p>
        </w:tc>
      </w:tr>
    </w:tbl>
    <w:p>
      <w:pPr>
        <w:pStyle w:val="Heading2"/>
        <w:spacing w:after="140" w:before="340"/>
      </w:pPr>
      <w:r>
        <w:rPr>
          <w:rFonts w:ascii="Cambria" w:cs="Cambria" w:eastAsia="Cambria" w:hAnsi="Cambria"/>
          <w:b/>
          <w:bCs/>
          <w:color w:val="0E1A1C"/>
          <w:sz w:val="26"/>
          <w:szCs w:val="26"/>
        </w:rPr>
        <w:t xml:space="preserve">Opdracht 5 — Rationalisatievoorstel</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Scoring op alle vijf criteria per systeempaar.</w:t>
      </w:r>
    </w:p>
    <w:p>
      <w:pPr>
        <w:pStyle w:val="ListParagraph"/>
        <w:numPr>
          <w:ilvl w:val="0"/>
          <w:numId w:val="2"/>
        </w:numPr>
        <w:spacing w:after="70" w:line="280"/>
      </w:pPr>
      <w:r>
        <w:rPr>
          <w:rFonts w:ascii="Calibri" w:cs="Calibri" w:eastAsia="Calibri" w:hAnsi="Calibri"/>
          <w:color w:val="0E1A1C"/>
          <w:sz w:val="21"/>
          <w:szCs w:val="21"/>
        </w:rPr>
        <w:t xml:space="preserve">Beheerkennis expliciet meegewogen, met de reorganisatiegevolgen.</w:t>
      </w:r>
    </w:p>
    <w:p>
      <w:pPr>
        <w:pStyle w:val="ListParagraph"/>
        <w:numPr>
          <w:ilvl w:val="0"/>
          <w:numId w:val="2"/>
        </w:numPr>
        <w:spacing w:after="70" w:line="280"/>
      </w:pPr>
      <w:r>
        <w:rPr>
          <w:rFonts w:ascii="Calibri" w:cs="Calibri" w:eastAsia="Calibri" w:hAnsi="Calibri"/>
          <w:color w:val="0E1A1C"/>
          <w:sz w:val="21"/>
          <w:szCs w:val="21"/>
        </w:rPr>
        <w:t xml:space="preserve">Per uitfasering benoemd wat er niet meekomt — dat is de verborgen kostenpost.</w:t>
      </w:r>
    </w:p>
    <w:p>
      <w:pPr>
        <w:pStyle w:val="ListParagraph"/>
        <w:numPr>
          <w:ilvl w:val="0"/>
          <w:numId w:val="2"/>
        </w:numPr>
        <w:spacing w:after="70" w:line="280"/>
      </w:pPr>
      <w:r>
        <w:rPr>
          <w:rFonts w:ascii="Calibri" w:cs="Calibri" w:eastAsia="Calibri" w:hAnsi="Calibri"/>
          <w:color w:val="0E1A1C"/>
          <w:sz w:val="21"/>
          <w:szCs w:val="21"/>
        </w:rPr>
        <w:t xml:space="preserve">Besparing uitgedrukt in koppelingen en beheerlast, niet alleen in licenties.</w:t>
      </w:r>
    </w:p>
    <w:p>
      <w:pPr>
        <w:pStyle w:val="ListParagraph"/>
        <w:numPr>
          <w:ilvl w:val="0"/>
          <w:numId w:val="2"/>
        </w:numPr>
        <w:spacing w:after="70" w:line="280"/>
      </w:pPr>
      <w:r>
        <w:rPr>
          <w:rFonts w:ascii="Calibri" w:cs="Calibri" w:eastAsia="Calibri" w:hAnsi="Calibri"/>
          <w:color w:val="0E1A1C"/>
          <w:sz w:val="21"/>
          <w:szCs w:val="21"/>
        </w:rPr>
        <w:t xml:space="preserve">Het politieke dilemma benoemd en uitgewerkt, met een formulering die het voorstel overeind houdt.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Kiezen op nieuwheid. Een nieuwer systeem is niet automatisch beter.</w:t>
      </w:r>
    </w:p>
    <w:p>
      <w:pPr>
        <w:pStyle w:val="ListParagraph"/>
        <w:numPr>
          <w:ilvl w:val="0"/>
          <w:numId w:val="2"/>
        </w:numPr>
        <w:spacing w:after="70" w:line="280"/>
      </w:pPr>
      <w:r>
        <w:rPr>
          <w:rFonts w:ascii="Calibri" w:cs="Calibri" w:eastAsia="Calibri" w:hAnsi="Calibri"/>
          <w:color w:val="0E1A1C"/>
          <w:sz w:val="21"/>
          <w:szCs w:val="21"/>
        </w:rPr>
        <w:t xml:space="preserve">Het verlies bij uitfasering niet benoemen; dat komt bij de oplevering terug.</w:t>
      </w:r>
    </w:p>
    <w:p>
      <w:pPr>
        <w:pStyle w:val="ListParagraph"/>
        <w:numPr>
          <w:ilvl w:val="0"/>
          <w:numId w:val="2"/>
        </w:numPr>
        <w:spacing w:after="70" w:line="280"/>
      </w:pPr>
      <w:r>
        <w:rPr>
          <w:rFonts w:ascii="Calibri" w:cs="Calibri" w:eastAsia="Calibri" w:hAnsi="Calibri"/>
          <w:color w:val="0E1A1C"/>
          <w:sz w:val="21"/>
          <w:szCs w:val="21"/>
        </w:rPr>
        <w:t xml:space="preserve">Het politieke dilemma weglaten. Er is er altijd één.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systeem zegt jouw analyse dat het weg moet en zegt de organisatie dat het blijft? Hoe schrijf je dat op?</w:t>
            </w:r>
          </w:p>
        </w:tc>
      </w:tr>
    </w:tbl>
    <w:p>
      <w:pPr>
        <w:pStyle w:val="Heading2"/>
        <w:spacing w:after="140" w:before="340"/>
      </w:pPr>
      <w:r>
        <w:rPr>
          <w:rFonts w:ascii="Cambria" w:cs="Cambria" w:eastAsia="Cambria" w:hAnsi="Cambria"/>
          <w:b/>
          <w:bCs/>
          <w:color w:val="0E1A1C"/>
          <w:sz w:val="26"/>
          <w:szCs w:val="26"/>
        </w:rPr>
        <w:t xml:space="preserve">Opdracht 6 — Migratiestrategie kiezen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Twee verschillende strategieën voor de twee ketens, met een verantwoording waarom ze verschillen.</w:t>
      </w:r>
    </w:p>
    <w:p>
      <w:pPr>
        <w:pStyle w:val="ListParagraph"/>
        <w:numPr>
          <w:ilvl w:val="0"/>
          <w:numId w:val="2"/>
        </w:numPr>
        <w:spacing w:after="70" w:line="280"/>
      </w:pPr>
      <w:r>
        <w:rPr>
          <w:rFonts w:ascii="Calibri" w:cs="Calibri" w:eastAsia="Calibri" w:hAnsi="Calibri"/>
          <w:color w:val="0E1A1C"/>
          <w:sz w:val="21"/>
          <w:szCs w:val="21"/>
        </w:rPr>
        <w:t xml:space="preserve">Parallel draaien voor de rapportageketen, met een vooraf vastgelegd aantal perioden en een leidende uitkomst.</w:t>
      </w:r>
    </w:p>
    <w:p>
      <w:pPr>
        <w:pStyle w:val="ListParagraph"/>
        <w:numPr>
          <w:ilvl w:val="0"/>
          <w:numId w:val="2"/>
        </w:numPr>
        <w:spacing w:after="70" w:line="280"/>
      </w:pPr>
      <w:r>
        <w:rPr>
          <w:rFonts w:ascii="Calibri" w:cs="Calibri" w:eastAsia="Calibri" w:hAnsi="Calibri"/>
          <w:color w:val="0E1A1C"/>
          <w:sz w:val="21"/>
          <w:szCs w:val="21"/>
        </w:rPr>
        <w:t xml:space="preserve">Het verplaatste risico per strategie benoemd, niet alleen de voordelen.</w:t>
      </w:r>
    </w:p>
    <w:p>
      <w:pPr>
        <w:pStyle w:val="ListParagraph"/>
        <w:numPr>
          <w:ilvl w:val="0"/>
          <w:numId w:val="2"/>
        </w:numPr>
        <w:spacing w:after="70" w:line="280"/>
      </w:pPr>
      <w:r>
        <w:rPr>
          <w:rFonts w:ascii="Calibri" w:cs="Calibri" w:eastAsia="Calibri" w:hAnsi="Calibri"/>
          <w:color w:val="0E1A1C"/>
          <w:sz w:val="21"/>
          <w:szCs w:val="21"/>
        </w:rPr>
        <w:t xml:space="preserve">Terugvalopties met het moment waarop ze vervallen.</w:t>
      </w:r>
    </w:p>
    <w:p>
      <w:pPr>
        <w:pStyle w:val="ListParagraph"/>
        <w:numPr>
          <w:ilvl w:val="0"/>
          <w:numId w:val="2"/>
        </w:numPr>
        <w:spacing w:after="70" w:line="280"/>
      </w:pPr>
      <w:r>
        <w:rPr>
          <w:rFonts w:ascii="Calibri" w:cs="Calibri" w:eastAsia="Calibri" w:hAnsi="Calibri"/>
          <w:color w:val="0E1A1C"/>
          <w:sz w:val="21"/>
          <w:szCs w:val="21"/>
        </w:rPr>
        <w:t xml:space="preserve">Een boardformulering die om een risicokeuze vraagt in plaats van om goedkeuring.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Eén strategie voor alles. Vraag waarom de rapportageketen hetzelfde zou moeten als de administratie.</w:t>
      </w:r>
    </w:p>
    <w:p>
      <w:pPr>
        <w:pStyle w:val="ListParagraph"/>
        <w:numPr>
          <w:ilvl w:val="0"/>
          <w:numId w:val="2"/>
        </w:numPr>
        <w:spacing w:after="70" w:line="280"/>
      </w:pPr>
      <w:r>
        <w:rPr>
          <w:rFonts w:ascii="Calibri" w:cs="Calibri" w:eastAsia="Calibri" w:hAnsi="Calibri"/>
          <w:color w:val="0E1A1C"/>
          <w:sz w:val="21"/>
          <w:szCs w:val="21"/>
        </w:rPr>
        <w:t xml:space="preserve">Parallel draaien zonder afspraak over de duur; dan duurt het jaren.</w:t>
      </w:r>
    </w:p>
    <w:p>
      <w:pPr>
        <w:pStyle w:val="ListParagraph"/>
        <w:numPr>
          <w:ilvl w:val="0"/>
          <w:numId w:val="2"/>
        </w:numPr>
        <w:spacing w:after="70" w:line="280"/>
      </w:pPr>
      <w:r>
        <w:rPr>
          <w:rFonts w:ascii="Calibri" w:cs="Calibri" w:eastAsia="Calibri" w:hAnsi="Calibri"/>
          <w:color w:val="0E1A1C"/>
          <w:sz w:val="21"/>
          <w:szCs w:val="21"/>
        </w:rPr>
        <w:t xml:space="preserve">Een strategie presenteren als risicoloos.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perioden draai je parallel? En wie besluit wanneer je stopt?</w:t>
            </w:r>
          </w:p>
        </w:tc>
      </w:tr>
    </w:tbl>
    <w:p>
      <w:pPr>
        <w:pStyle w:val="Heading2"/>
        <w:spacing w:after="140" w:before="340"/>
      </w:pPr>
      <w:r>
        <w:rPr>
          <w:rFonts w:ascii="Cambria" w:cs="Cambria" w:eastAsia="Cambria" w:hAnsi="Cambria"/>
          <w:b/>
          <w:bCs/>
          <w:color w:val="0E1A1C"/>
          <w:sz w:val="26"/>
          <w:szCs w:val="26"/>
        </w:rPr>
        <w:t xml:space="preserve">Opdracht 7 — Architectuurbesluit vastleggen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echt besluit uit de eigen praktijk, met de context gereconstrueerd.</w:t>
      </w:r>
    </w:p>
    <w:p>
      <w:pPr>
        <w:pStyle w:val="ListParagraph"/>
        <w:numPr>
          <w:ilvl w:val="0"/>
          <w:numId w:val="2"/>
        </w:numPr>
        <w:spacing w:after="70" w:line="280"/>
      </w:pPr>
      <w:r>
        <w:rPr>
          <w:rFonts w:ascii="Calibri" w:cs="Calibri" w:eastAsia="Calibri" w:hAnsi="Calibri"/>
          <w:color w:val="0E1A1C"/>
          <w:sz w:val="21"/>
          <w:szCs w:val="21"/>
        </w:rPr>
        <w:t xml:space="preserve">Afgevallen opties benoemd, ook als die achteraf beter bleken.</w:t>
      </w:r>
    </w:p>
    <w:p>
      <w:pPr>
        <w:pStyle w:val="ListParagraph"/>
        <w:numPr>
          <w:ilvl w:val="0"/>
          <w:numId w:val="2"/>
        </w:numPr>
        <w:spacing w:after="70" w:line="280"/>
      </w:pPr>
      <w:r>
        <w:rPr>
          <w:rFonts w:ascii="Calibri" w:cs="Calibri" w:eastAsia="Calibri" w:hAnsi="Calibri"/>
          <w:color w:val="0E1A1C"/>
          <w:sz w:val="21"/>
          <w:szCs w:val="21"/>
        </w:rPr>
        <w:t xml:space="preserve">Het onderscheid tussen een fout besluit en een veranderde context expliciet gemaakt.</w:t>
      </w:r>
    </w:p>
    <w:p>
      <w:pPr>
        <w:pStyle w:val="ListParagraph"/>
        <w:numPr>
          <w:ilvl w:val="0"/>
          <w:numId w:val="2"/>
        </w:numPr>
        <w:spacing w:after="70" w:line="280"/>
      </w:pPr>
      <w:r>
        <w:rPr>
          <w:rFonts w:ascii="Calibri" w:cs="Calibri" w:eastAsia="Calibri" w:hAnsi="Calibri"/>
          <w:color w:val="0E1A1C"/>
          <w:sz w:val="21"/>
          <w:szCs w:val="21"/>
        </w:rPr>
        <w:t xml:space="preserve">Een besluitregistratie met alle vijf onderdelen, inclusief wat er moeilijker wordt.</w:t>
      </w:r>
    </w:p>
    <w:p>
      <w:pPr>
        <w:pStyle w:val="ListParagraph"/>
        <w:numPr>
          <w:ilvl w:val="0"/>
          <w:numId w:val="2"/>
        </w:numPr>
        <w:spacing w:after="70" w:line="280"/>
      </w:pPr>
      <w:r>
        <w:rPr>
          <w:rFonts w:ascii="Calibri" w:cs="Calibri" w:eastAsia="Calibri" w:hAnsi="Calibri"/>
          <w:color w:val="0E1A1C"/>
          <w:sz w:val="21"/>
          <w:szCs w:val="21"/>
        </w:rPr>
        <w:t xml:space="preserve">Een herzieningsmoment.</w:t>
      </w:r>
    </w:p>
    <w:p>
      <w:pPr>
        <w:pStyle w:val="ListParagraph"/>
        <w:numPr>
          <w:ilvl w:val="0"/>
          <w:numId w:val="2"/>
        </w:numPr>
        <w:spacing w:after="70" w:line="280"/>
      </w:pPr>
      <w:r>
        <w:rPr>
          <w:rFonts w:ascii="Calibri" w:cs="Calibri" w:eastAsia="Calibri" w:hAnsi="Calibri"/>
          <w:color w:val="0E1A1C"/>
          <w:sz w:val="21"/>
          <w:szCs w:val="21"/>
        </w:rPr>
        <w:t xml:space="preserve">Peer review op de vraag of het over vijf jaar te begrijpen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besluit kiezen dat goed uitpakte. Dan levert de reconstructie niets op.</w:t>
      </w:r>
    </w:p>
    <w:p>
      <w:pPr>
        <w:pStyle w:val="ListParagraph"/>
        <w:numPr>
          <w:ilvl w:val="0"/>
          <w:numId w:val="2"/>
        </w:numPr>
        <w:spacing w:after="70" w:line="280"/>
      </w:pPr>
      <w:r>
        <w:rPr>
          <w:rFonts w:ascii="Calibri" w:cs="Calibri" w:eastAsia="Calibri" w:hAnsi="Calibri"/>
          <w:color w:val="0E1A1C"/>
          <w:sz w:val="21"/>
          <w:szCs w:val="21"/>
        </w:rPr>
        <w:t xml:space="preserve">Concluderen dat het besluit fout was terwijl de context veranderde.</w:t>
      </w:r>
    </w:p>
    <w:p>
      <w:pPr>
        <w:pStyle w:val="ListParagraph"/>
        <w:numPr>
          <w:ilvl w:val="0"/>
          <w:numId w:val="2"/>
        </w:numPr>
        <w:spacing w:after="70" w:line="280"/>
      </w:pPr>
      <w:r>
        <w:rPr>
          <w:rFonts w:ascii="Calibri" w:cs="Calibri" w:eastAsia="Calibri" w:hAnsi="Calibri"/>
          <w:color w:val="0E1A1C"/>
          <w:sz w:val="21"/>
          <w:szCs w:val="21"/>
        </w:rPr>
        <w:t xml:space="preserve">Alleen de gevolgen noemen die makkelijker werden.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Was jouw besluit fout, of is de context veranderd? Wat had je destijds anders kunnen weten?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Waarin verschilt het criterium van een applicatiearchitect van dat van een data-architect bij het aanwijzen van de bron van waarheid?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applicatiearchitect kijkt naar functionaliteit en volledigheid, de data-architect naar eigenaarschap en herkomst.</w:t>
      </w:r>
    </w:p>
    <w:p>
      <w:pPr>
        <w:spacing w:after="40" w:line="275"/>
        <w:ind w:left="420"/>
      </w:pPr>
      <w:r>
        <w:rPr>
          <w:rFonts w:ascii="Calibri" w:cs="Calibri" w:eastAsia="Calibri" w:hAnsi="Calibri"/>
          <w:color w:val="5F7375"/>
          <w:sz w:val="19"/>
          <w:szCs w:val="19"/>
        </w:rPr>
        <w:t xml:space="preserve">Die twee vallen niet altijd samen, en het verschil wordt zelden expliciet uitgevochten.</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Wat is de valkuil van het landschap ontwerpen vanuit bestaande systemen?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Je krijgt een plaat die het heden beschrijft en de toekomst niet stuurt.</w:t>
      </w:r>
    </w:p>
    <w:p>
      <w:pPr>
        <w:spacing w:after="40" w:line="275"/>
        <w:ind w:left="420"/>
      </w:pPr>
      <w:r>
        <w:rPr>
          <w:rFonts w:ascii="Calibri" w:cs="Calibri" w:eastAsia="Calibri" w:hAnsi="Calibri"/>
          <w:color w:val="5F7375"/>
          <w:sz w:val="19"/>
          <w:szCs w:val="19"/>
        </w:rPr>
        <w:t xml:space="preserve">Capability-gedreven ontwerp begint bij wat de organisatie moet kunnen, niet bij wat er staat.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Welke stap in capability-gedreven ontwerp wordt het vaakst overgeslagen?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Gaten benoemen: welke capability heeft geen bron?</w:t>
      </w:r>
    </w:p>
    <w:p>
      <w:pPr>
        <w:spacing w:after="40" w:line="275"/>
        <w:ind w:left="420"/>
      </w:pPr>
      <w:r>
        <w:rPr>
          <w:rFonts w:ascii="Calibri" w:cs="Calibri" w:eastAsia="Calibri" w:hAnsi="Calibri"/>
          <w:color w:val="5F7375"/>
          <w:sz w:val="19"/>
          <w:szCs w:val="19"/>
        </w:rPr>
        <w:t xml:space="preserve">Een capability zonder aanwijsbare bron is een risico dat pas zichtbaar wordt als een toezichthouder ernaar vraagt.</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"Wij streven naar hoge datakwaliteit." Is dit een principe?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Nee, het sluit niets uit en raakt geen enkel project.</w:t>
      </w:r>
    </w:p>
    <w:p>
      <w:pPr>
        <w:spacing w:after="40" w:line="275"/>
        <w:ind w:left="420"/>
      </w:pPr>
      <w:r>
        <w:rPr>
          <w:rFonts w:ascii="Calibri" w:cs="Calibri" w:eastAsia="Calibri" w:hAnsi="Calibri"/>
          <w:color w:val="5F7375"/>
          <w:sz w:val="19"/>
          <w:szCs w:val="19"/>
        </w:rPr>
        <w:t xml:space="preserve">De toets: welk voorstel van vorig jaar zou hierdoor zijn afgewezen? Is het antwoord geen enkel, dan is het een wenselijkheid.</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Welk onderdeel van een architectuurbesluit is over vijf jaar het meest waard?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overwogen en afgevallen opties</w:t>
      </w:r>
    </w:p>
    <w:p>
      <w:pPr>
        <w:spacing w:after="40" w:line="275"/>
        <w:ind w:left="420"/>
      </w:pPr>
      <w:r>
        <w:rPr>
          <w:rFonts w:ascii="Calibri" w:cs="Calibri" w:eastAsia="Calibri" w:hAnsi="Calibri"/>
          <w:color w:val="5F7375"/>
          <w:sz w:val="19"/>
          <w:szCs w:val="19"/>
        </w:rPr>
        <w:t xml:space="preserve">Zonder de afgevallen opties begint de discussie opnieuw, met dezelfde argumenten en zonder de context van toen.</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Welk rationalisatiecriterium wordt het vaakst vergeten en beslist in de praktijk vaak?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Beheerkennis: wie kan dit systeem nog beheren?</w:t>
      </w:r>
    </w:p>
    <w:p>
      <w:pPr>
        <w:spacing w:after="40" w:line="275"/>
        <w:ind w:left="420"/>
      </w:pPr>
      <w:r>
        <w:rPr>
          <w:rFonts w:ascii="Calibri" w:cs="Calibri" w:eastAsia="Calibri" w:hAnsi="Calibri"/>
          <w:color w:val="5F7375"/>
          <w:sz w:val="19"/>
          <w:szCs w:val="19"/>
        </w:rPr>
        <w:t xml:space="preserve">Een systeem dat door drie mensen wordt beheerd van wie er twee vertrekken, is een risico ongeacht zijn technische kwaliteit.</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Welke migratiestrategie is verstandig bij een rapportageketen onder toezicht?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Parallel draaien</w:t>
      </w:r>
    </w:p>
    <w:p>
      <w:pPr>
        <w:spacing w:after="40" w:line="275"/>
        <w:ind w:left="420"/>
      </w:pPr>
      <w:r>
        <w:rPr>
          <w:rFonts w:ascii="Calibri" w:cs="Calibri" w:eastAsia="Calibri" w:hAnsi="Calibri"/>
          <w:color w:val="5F7375"/>
          <w:sz w:val="19"/>
          <w:szCs w:val="19"/>
        </w:rPr>
        <w:t xml:space="preserve">Niet om technische redenen maar om aantoonbaarheid: je kunt laten zien dat de nieuwe keten dezelfde uitkomsten produceert.</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is de juiste vraag aan een board over migratiestrategie?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Welk risico kan de organisatie het beste dragen?</w:t>
      </w:r>
    </w:p>
    <w:p>
      <w:pPr>
        <w:spacing w:after="40" w:line="275"/>
        <w:ind w:left="420"/>
      </w:pPr>
      <w:r>
        <w:rPr>
          <w:rFonts w:ascii="Calibri" w:cs="Calibri" w:eastAsia="Calibri" w:hAnsi="Calibri"/>
          <w:color w:val="5F7375"/>
          <w:sz w:val="19"/>
          <w:szCs w:val="19"/>
        </w:rPr>
        <w:t xml:space="preserve">Er bestaat geen risicoloze strategie; elke strategie verplaatst het risico. Dat is een gesprek waarin een board iets te kiezen heeft.</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is de werkbare volgorde bij twee landschappen?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Definitie beslechten, dan bron aanwijzen, dan migratie plannen.</w:t>
      </w:r>
    </w:p>
    <w:p>
      <w:pPr>
        <w:spacing w:after="40" w:line="275"/>
        <w:ind w:left="420"/>
      </w:pPr>
      <w:r>
        <w:rPr>
          <w:rFonts w:ascii="Calibri" w:cs="Calibri" w:eastAsia="Calibri" w:hAnsi="Calibri"/>
          <w:color w:val="5F7375"/>
          <w:sz w:val="19"/>
          <w:szCs w:val="19"/>
        </w:rPr>
        <w:t xml:space="preserve">Wie de volgorde omdraait, migreert gegevens waarvan de betekenis nog niet vaststaat — en dat werk moet over.</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Hoeveel architectuurprincipes zijn werkbaar?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Zes tot acht; meer dan tien worden niet onthouden</w:t>
      </w:r>
    </w:p>
    <w:p>
      <w:pPr>
        <w:spacing w:after="40" w:line="275"/>
        <w:ind w:left="420"/>
      </w:pPr>
      <w:r>
        <w:rPr>
          <w:rFonts w:ascii="Calibri" w:cs="Calibri" w:eastAsia="Calibri" w:hAnsi="Calibri"/>
          <w:color w:val="5F7375"/>
          <w:sz w:val="19"/>
          <w:szCs w:val="19"/>
        </w:rPr>
        <w:t xml:space="preserve">Bij een fusie is de verleiding om beide sets op te tellen. Dat levert er vijfentwintig op waarvan er zes elkaar tegenspreken.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Waarom is per systeem kiezen bij een fusie riskant?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Je gooit het beste van beide landschappen weg.</w:t>
      </w:r>
    </w:p>
    <w:p>
      <w:pPr>
        <w:spacing w:after="40" w:line="275"/>
        <w:ind w:left="420"/>
      </w:pPr>
      <w:r>
        <w:rPr>
          <w:rFonts w:ascii="Calibri" w:cs="Calibri" w:eastAsia="Calibri" w:hAnsi="Calibri"/>
          <w:color w:val="5F7375"/>
          <w:sz w:val="19"/>
          <w:szCs w:val="19"/>
        </w:rPr>
        <w:t xml:space="preserve">De keuze is zelden voor alle gegevens dezelfde kant op. Kies per gegeven, met de definitie erbij.</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ontbreekt het vaakst aan een architectuurprincipe?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De implicaties voor wie iets bouwt</w:t>
      </w:r>
    </w:p>
    <w:p>
      <w:pPr>
        <w:spacing w:after="40" w:line="275"/>
        <w:ind w:left="420"/>
      </w:pPr>
      <w:r>
        <w:rPr>
          <w:rFonts w:ascii="Calibri" w:cs="Calibri" w:eastAsia="Calibri" w:hAnsi="Calibri"/>
          <w:color w:val="5F7375"/>
          <w:sz w:val="19"/>
          <w:szCs w:val="19"/>
        </w:rPr>
        <w:t xml:space="preserve">Zonder implicaties weet niemand wat het principe voor zijn project betekent, en wordt het genegeerd.</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Wie zou bij een fusie de bron van waarheid moeten aanwijzen: de overnemende partij of de meest volwassen partij?</w:t>
      </w:r>
    </w:p>
    <w:p>
      <w:pPr>
        <w:pStyle w:val="ListParagraph"/>
        <w:numPr>
          <w:ilvl w:val="0"/>
          <w:numId w:val="3"/>
        </w:numPr>
        <w:spacing w:after="70" w:line="280"/>
      </w:pPr>
      <w:r>
        <w:rPr>
          <w:rFonts w:ascii="Calibri" w:cs="Calibri" w:eastAsia="Calibri" w:hAnsi="Calibri"/>
          <w:color w:val="0E1A1C"/>
          <w:sz w:val="21"/>
          <w:szCs w:val="21"/>
        </w:rPr>
        <w:t xml:space="preserve">Is een architectuurprincipe dat door de directie wordt overruled nog een principe?</w:t>
      </w:r>
    </w:p>
    <w:p>
      <w:pPr>
        <w:pStyle w:val="ListParagraph"/>
        <w:numPr>
          <w:ilvl w:val="0"/>
          <w:numId w:val="3"/>
        </w:numPr>
        <w:spacing w:after="70" w:line="280"/>
      </w:pPr>
      <w:r>
        <w:rPr>
          <w:rFonts w:ascii="Calibri" w:cs="Calibri" w:eastAsia="Calibri" w:hAnsi="Calibri"/>
          <w:color w:val="0E1A1C"/>
          <w:sz w:val="21"/>
          <w:szCs w:val="21"/>
        </w:rPr>
        <w:t xml:space="preserve">Kan een organisatie twee begrippenkaders naast elkaar houden, of is dat altijd uitstel?</w:t>
      </w:r>
    </w:p>
    <w:p>
      <w:pPr>
        <w:pStyle w:val="ListParagraph"/>
        <w:numPr>
          <w:ilvl w:val="0"/>
          <w:numId w:val="3"/>
        </w:numPr>
        <w:spacing w:after="70" w:line="280"/>
      </w:pPr>
      <w:r>
        <w:rPr>
          <w:rFonts w:ascii="Calibri" w:cs="Calibri" w:eastAsia="Calibri" w:hAnsi="Calibri"/>
          <w:color w:val="0E1A1C"/>
          <w:sz w:val="21"/>
          <w:szCs w:val="21"/>
        </w:rPr>
        <w:t xml:space="preserve">Wat zegt het over een organisatie als haar architectuurbesluiten nergens zijn vastgelegd?</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4 de negentien begrippen doorrekenen naar migratie-inspanning: welke keuze kost het meest?</w:t>
      </w:r>
    </w:p>
    <w:p>
      <w:pPr>
        <w:pStyle w:val="ListParagraph"/>
        <w:numPr>
          <w:ilvl w:val="0"/>
          <w:numId w:val="2"/>
        </w:numPr>
        <w:spacing w:after="70" w:line="280"/>
      </w:pPr>
      <w:r>
        <w:rPr>
          <w:rFonts w:ascii="Calibri" w:cs="Calibri" w:eastAsia="Calibri" w:hAnsi="Calibri"/>
          <w:color w:val="0E1A1C"/>
          <w:sz w:val="21"/>
          <w:szCs w:val="21"/>
        </w:rPr>
        <w:t xml:space="preserve">Vraag om bij opdracht 5 een variant te maken waarin de politiek wint, en de gevolgen over drie jaar te schetsen.</w:t>
      </w:r>
    </w:p>
    <w:p>
      <w:pPr>
        <w:pStyle w:val="ListParagraph"/>
        <w:numPr>
          <w:ilvl w:val="0"/>
          <w:numId w:val="2"/>
        </w:numPr>
        <w:spacing w:after="70" w:line="280"/>
      </w:pPr>
      <w:r>
        <w:rPr>
          <w:rFonts w:ascii="Calibri" w:cs="Calibri" w:eastAsia="Calibri" w:hAnsi="Calibri"/>
          <w:color w:val="0E1A1C"/>
          <w:sz w:val="21"/>
          <w:szCs w:val="21"/>
        </w:rPr>
        <w:t xml:space="preserve">Laat opdracht 6 uitbreiden met een derde keten, bijvoorbeeld het deelnemersportaal, en de samenhang beoordelen.</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3 tot twaalf principes in plaats van vijfentwintig.</w:t>
      </w:r>
    </w:p>
    <w:p>
      <w:pPr>
        <w:pStyle w:val="ListParagraph"/>
        <w:numPr>
          <w:ilvl w:val="0"/>
          <w:numId w:val="2"/>
        </w:numPr>
        <w:spacing w:after="70" w:line="280"/>
      </w:pPr>
      <w:r>
        <w:rPr>
          <w:rFonts w:ascii="Calibri" w:cs="Calibri" w:eastAsia="Calibri" w:hAnsi="Calibri"/>
          <w:color w:val="0E1A1C"/>
          <w:sz w:val="21"/>
          <w:szCs w:val="21"/>
        </w:rPr>
        <w:t xml:space="preserve">Geef bij opdracht 4 de vijf naamgevingsverschillen voor; de veertien semantische zijn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5 op drie systeemparen doen in plaats van alle.</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TOGAF- of ArchiMate-gecertificeerd zijn?"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Je moet in een architectuuroverleg kunnen meelezen. De notatie is hier leesniveau, net als de datamodellen in deel 2.</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data-architectuur hetzelfde als datamodellering?"</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Modellering legt de betekenis van een domein vast; architectuur bewaakt de samenhang op ondernemingsniveau. Dat onderscheid komt op het examen terug.</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wint bij een conflict tussen architecten?"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Niemand automatisch. Maak het criterium expliciet in plaats van over de uitkomst te discussiëren; dan blijkt vaak dat men een andere vraag beantwoordt.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principes is te veel?"</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Meer dan tien worden niet onthouden en dus niet toegepast. Zes tot acht is werkbaar.</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22 — Enterprise data-architectuur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data-architectuur — Docentenhandleiding</dc:title>
  <dc:creator>Ductus B.V.</dc:creator>
  <dc:description>Cursusmateriaal datamanagement, data-analyse en data governance</dc:description>
  <cp:lastModifiedBy>Un-named</cp:lastModifiedBy>
  <cp:revision>1</cp:revision>
  <dcterms:created xsi:type="dcterms:W3CDTF">2026-08-05T13:01:40.599Z</dcterms:created>
  <dcterms:modified xsi:type="dcterms:W3CDTF">2026-08-05T13:01:40.599Z</dcterms:modified>
</cp:coreProperties>
</file>

<file path=docProps/custom.xml><?xml version="1.0" encoding="utf-8"?>
<Properties xmlns="http://schemas.openxmlformats.org/officeDocument/2006/custom-properties" xmlns:vt="http://schemas.openxmlformats.org/officeDocument/2006/docPropsVTypes"/>
</file>