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3 · MEESTERSCHAP · DEEL 22</w:t>
      </w:r>
    </w:p>
    <w:p>
      <w:pPr>
        <w:spacing w:after="120"/>
      </w:pPr>
      <w:r>
        <w:rPr>
          <w:rFonts w:ascii="Cambria" w:cs="Cambria" w:eastAsia="Cambria" w:hAnsi="Cambria"/>
          <w:b/>
          <w:bCs/>
          <w:color w:val="0E1A1C"/>
          <w:sz w:val="56"/>
          <w:szCs w:val="56"/>
        </w:rPr>
        <w:t xml:space="preserve">Enterprise data-architectuur</w:t>
      </w:r>
    </w:p>
    <w:p>
      <w:pPr>
        <w:spacing w:after="300"/>
      </w:pPr>
      <w:r>
        <w:rPr>
          <w:rFonts w:ascii="Calibri" w:cs="Calibri" w:eastAsia="Calibri" w:hAnsi="Calibri"/>
          <w:color w:val="5F7375"/>
          <w:sz w:val="26"/>
          <w:szCs w:val="26"/>
        </w:rPr>
        <w:t xml:space="preserve">Deelnemersreader</w:t>
      </w:r>
    </w:p>
    <w:p>
      <w:pPr>
        <w:spacing w:after="40"/>
      </w:pPr>
      <w:r>
        <w:rPr>
          <w:rFonts w:ascii="Consolas" w:cs="Consolas" w:eastAsia="Consolas" w:hAnsi="Consolas"/>
          <w:color w:val="5F7375"/>
          <w:sz w:val="17"/>
          <w:szCs w:val="17"/>
        </w:rPr>
        <w:t xml:space="preserve">STUDIELAST  </w:t>
      </w:r>
      <w:r>
        <w:rPr>
          <w:rFonts w:ascii="Calibri" w:cs="Calibri" w:eastAsia="Calibri" w:hAnsi="Calibri"/>
          <w:b/>
          <w:bCs/>
          <w:color w:val="0E1A1C"/>
          <w:sz w:val="20"/>
          <w:szCs w:val="20"/>
        </w:rPr>
        <w:t xml:space="preserve">± 8 uur (5 uur klassikaal, 3 uur zelfstandig)</w:t>
      </w:r>
    </w:p>
    <w:p>
      <w:pPr>
        <w:spacing w:after="40"/>
      </w:pPr>
      <w:r>
        <w:rPr>
          <w:rFonts w:ascii="Consolas" w:cs="Consolas" w:eastAsia="Consolas" w:hAnsi="Consolas"/>
          <w:color w:val="5F7375"/>
          <w:sz w:val="17"/>
          <w:szCs w:val="17"/>
        </w:rPr>
        <w:t xml:space="preserve">EXAMENLIJN  </w:t>
      </w:r>
      <w:r>
        <w:rPr>
          <w:rFonts w:ascii="Calibri" w:cs="Calibri" w:eastAsia="Calibri" w:hAnsi="Calibri"/>
          <w:b/>
          <w:bCs/>
          <w:color w:val="0E1A1C"/>
          <w:sz w:val="20"/>
          <w:szCs w:val="20"/>
        </w:rPr>
        <w:t xml:space="preserve">CDMP · Data Architecture, op de 80%-band</w:t>
      </w:r>
    </w:p>
    <w:p>
      <w:pPr>
        <w:spacing w:after="40"/>
      </w:pPr>
      <w:r>
        <w:rPr>
          <w:rFonts w:ascii="Consolas" w:cs="Consolas" w:eastAsia="Consolas" w:hAnsi="Consolas"/>
          <w:color w:val="5F7375"/>
          <w:sz w:val="17"/>
          <w:szCs w:val="17"/>
        </w:rPr>
        <w:t xml:space="preserve">CASUS  </w:t>
      </w:r>
      <w:r>
        <w:rPr>
          <w:rFonts w:ascii="Calibri" w:cs="Calibri" w:eastAsia="Calibri" w:hAnsi="Calibri"/>
          <w:b/>
          <w:bCs/>
          <w:color w:val="0E1A1C"/>
          <w:sz w:val="20"/>
          <w:szCs w:val="20"/>
        </w:rPr>
        <w:t xml:space="preserve">Meridiaan Pensioen N.V., drie jaar later</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4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1. De casus, drie jaar later</w:t>
      </w:r>
    </w:p>
    <w:p>
      <w:pPr>
        <w:spacing w:after="140" w:line="288"/>
      </w:pPr>
      <w:r>
        <w:rPr>
          <w:rFonts w:ascii="Calibri" w:cs="Calibri" w:eastAsia="Calibri" w:hAnsi="Calibri"/>
          <w:color w:val="0E1A1C"/>
          <w:sz w:val="21"/>
          <w:szCs w:val="21"/>
        </w:rPr>
        <w:t xml:space="preserve">Meridiaan is verder. De migratie is afgerond, de polisadministratie is uitgefaseerd, en de governance staat op niveau 2 tot 3: er zijn data owners per domein, een werkend begrippenkader met tweehonderd vastgestelde termen, en een kwaliteitsproces dat draait. De DNB-bevinding is twee jaar geleden afgesloten.</w:t>
      </w:r>
    </w:p>
    <w:p>
      <w:pPr>
        <w:spacing w:after="140" w:line="288"/>
      </w:pPr>
      <w:r>
        <w:rPr>
          <w:rFonts w:ascii="Calibri" w:cs="Calibri" w:eastAsia="Calibri" w:hAnsi="Calibri"/>
          <w:color w:val="0E1A1C"/>
          <w:sz w:val="21"/>
          <w:szCs w:val="21"/>
        </w:rPr>
        <w:t xml:space="preserve">En nu ligt er een fusie. Nautilus Pensioendiensten, 210.000 deelnemers, gaat over achttien maanden samen met Meridiaan. Nautilus is kleiner en op governance verder: niveau 3 tot 4, met een lakehouse op een andere cloud, een eigen begrippenkader van driehonderd termen, en een architectuurfunctie die al vijf jaar bestaat. Hun datakwaliteit is echter zwakker, en hun definities wijken op negentien kernbegrippen af van die van Meridiaan.</w:t>
      </w:r>
    </w:p>
    <w:p>
      <w:pPr>
        <w:spacing w:after="140" w:line="288"/>
      </w:pPr>
      <w:r>
        <w:rPr>
          <w:rFonts w:ascii="Calibri" w:cs="Calibri" w:eastAsia="Calibri" w:hAnsi="Calibri"/>
          <w:color w:val="0E1A1C"/>
          <w:sz w:val="21"/>
          <w:szCs w:val="21"/>
        </w:rPr>
        <w:t xml:space="preserve">Dat is de situatie waarin dit hele niveau zich afspeelt. De vragen zijn anders dan in niveau 2: niet hoe je iets inricht, maar hoe je twee inrichtingen samenvoegt zonder de goede kant weg te gooien, hoe je dat volhoudt over drie jaar, en hoe je het verdedigt tegenover een board die vooral naar de fusiekosten kijkt.</w:t>
      </w:r>
    </w:p>
    <w:p>
      <w:pPr>
        <w:pStyle w:val="Heading3"/>
        <w:spacing w:after="100" w:before="240"/>
      </w:pPr>
      <w:r>
        <w:rPr>
          <w:rFonts w:ascii="Calibri" w:cs="Calibri" w:eastAsia="Calibri" w:hAnsi="Calibri"/>
          <w:b/>
          <w:bCs/>
          <w:color w:val="3F7D74"/>
          <w:sz w:val="22"/>
          <w:szCs w:val="22"/>
        </w:rPr>
        <w:t xml:space="preserve">Leerdoelen</w:t>
      </w:r>
    </w:p>
    <w:p>
      <w:pPr>
        <w:pStyle w:val="ListParagraph"/>
        <w:numPr>
          <w:ilvl w:val="0"/>
          <w:numId w:val="2"/>
        </w:numPr>
        <w:spacing w:after="70" w:line="280"/>
      </w:pPr>
      <w:r>
        <w:rPr>
          <w:rFonts w:ascii="Calibri" w:cs="Calibri" w:eastAsia="Calibri" w:hAnsi="Calibri"/>
          <w:color w:val="0E1A1C"/>
          <w:sz w:val="21"/>
          <w:szCs w:val="21"/>
        </w:rPr>
        <w:t xml:space="preserve">Je positioneert data-architectuur binnen de bredere architectuurpraktijk en spreekt de taal van applicatie- en securityarchitecten.</w:t>
      </w:r>
    </w:p>
    <w:p>
      <w:pPr>
        <w:pStyle w:val="ListParagraph"/>
        <w:numPr>
          <w:ilvl w:val="0"/>
          <w:numId w:val="2"/>
        </w:numPr>
        <w:spacing w:after="70" w:line="280"/>
      </w:pPr>
      <w:r>
        <w:rPr>
          <w:rFonts w:ascii="Calibri" w:cs="Calibri" w:eastAsia="Calibri" w:hAnsi="Calibri"/>
          <w:color w:val="0E1A1C"/>
          <w:sz w:val="21"/>
          <w:szCs w:val="21"/>
        </w:rPr>
        <w:t xml:space="preserve">Je leidt informatiebehoefte af uit capabilities in plaats van uit systemen.</w:t>
      </w:r>
    </w:p>
    <w:p>
      <w:pPr>
        <w:pStyle w:val="ListParagraph"/>
        <w:numPr>
          <w:ilvl w:val="0"/>
          <w:numId w:val="2"/>
        </w:numPr>
        <w:spacing w:after="70" w:line="280"/>
      </w:pPr>
      <w:r>
        <w:rPr>
          <w:rFonts w:ascii="Calibri" w:cs="Calibri" w:eastAsia="Calibri" w:hAnsi="Calibri"/>
          <w:color w:val="0E1A1C"/>
          <w:sz w:val="21"/>
          <w:szCs w:val="21"/>
        </w:rPr>
        <w:t xml:space="preserve">Je schrijft architectuurprincipes die toetsbaar zijn en die conflicten zichtbaar maken.</w:t>
      </w:r>
    </w:p>
    <w:p>
      <w:pPr>
        <w:pStyle w:val="ListParagraph"/>
        <w:numPr>
          <w:ilvl w:val="0"/>
          <w:numId w:val="2"/>
        </w:numPr>
        <w:spacing w:after="70" w:line="280"/>
      </w:pPr>
      <w:r>
        <w:rPr>
          <w:rFonts w:ascii="Calibri" w:cs="Calibri" w:eastAsia="Calibri" w:hAnsi="Calibri"/>
          <w:color w:val="0E1A1C"/>
          <w:sz w:val="21"/>
          <w:szCs w:val="21"/>
        </w:rPr>
        <w:t xml:space="preserve">Je legt architectuurbesluiten zo vast dat ze over vijf jaar nog te begrijpen zijn.</w:t>
      </w:r>
    </w:p>
    <w:p>
      <w:pPr>
        <w:pStyle w:val="ListParagraph"/>
        <w:numPr>
          <w:ilvl w:val="0"/>
          <w:numId w:val="2"/>
        </w:numPr>
        <w:spacing w:after="70" w:line="280"/>
      </w:pPr>
      <w:r>
        <w:rPr>
          <w:rFonts w:ascii="Calibri" w:cs="Calibri" w:eastAsia="Calibri" w:hAnsi="Calibri"/>
          <w:color w:val="0E1A1C"/>
          <w:sz w:val="21"/>
          <w:szCs w:val="21"/>
        </w:rPr>
        <w:t xml:space="preserve">Je stelt een rationalisatievoorstel op met expliciete uitfaseringscriteria.</w:t>
      </w:r>
    </w:p>
    <w:p>
      <w:pPr>
        <w:pStyle w:val="ListParagraph"/>
        <w:numPr>
          <w:ilvl w:val="0"/>
          <w:numId w:val="2"/>
        </w:numPr>
        <w:spacing w:after="70" w:line="280"/>
      </w:pPr>
      <w:r>
        <w:rPr>
          <w:rFonts w:ascii="Calibri" w:cs="Calibri" w:eastAsia="Calibri" w:hAnsi="Calibri"/>
          <w:color w:val="0E1A1C"/>
          <w:sz w:val="21"/>
          <w:szCs w:val="21"/>
        </w:rPr>
        <w:t xml:space="preserve">Je kiest een migratiestrategie en verantwoordt hem tegenover de risico’s die hij verplaatst.</w:t>
      </w:r>
    </w:p>
    <w:p>
      <w:pPr>
        <w:pStyle w:val="ListParagraph"/>
        <w:numPr>
          <w:ilvl w:val="0"/>
          <w:numId w:val="2"/>
        </w:numPr>
        <w:spacing w:after="70" w:line="280"/>
      </w:pPr>
      <w:r>
        <w:rPr>
          <w:rFonts w:ascii="Calibri" w:cs="Calibri" w:eastAsia="Calibri" w:hAnsi="Calibri"/>
          <w:color w:val="0E1A1C"/>
          <w:sz w:val="21"/>
          <w:szCs w:val="21"/>
        </w:rPr>
        <w:t xml:space="preserve">Je lost bron-van-waarheidconflicten op tussen twee landschappen.</w:t>
      </w:r>
    </w:p>
    <w:p>
      <w:r>
        <w:br w:type="page"/>
      </w:r>
    </w:p>
    <w:p>
      <w:pPr>
        <w:pStyle w:val="Heading1"/>
        <w:spacing w:after="200" w:before="420"/>
      </w:pPr>
      <w:r>
        <w:rPr>
          <w:rFonts w:ascii="Cambria" w:cs="Cambria" w:eastAsia="Cambria" w:hAnsi="Cambria"/>
          <w:b/>
          <w:bCs/>
          <w:color w:val="1B4A48"/>
          <w:sz w:val="34"/>
          <w:szCs w:val="34"/>
        </w:rPr>
        <w:t xml:space="preserve">2. Data-architectuur in de bredere praktijk</w:t>
      </w:r>
    </w:p>
    <w:p>
      <w:pPr>
        <w:spacing w:after="140" w:line="288"/>
      </w:pPr>
      <w:r>
        <w:rPr>
          <w:rFonts w:ascii="Calibri" w:cs="Calibri" w:eastAsia="Calibri" w:hAnsi="Calibri"/>
          <w:color w:val="0E1A1C"/>
          <w:sz w:val="21"/>
          <w:szCs w:val="21"/>
        </w:rPr>
        <w:t xml:space="preserve">Data-architectuur staat zelden op zichzelf. In organisaties met een architectuurfunctie zit hij naast business-, applicatie-, technologie- en securityarchitectuur, en de grenzen zijn vloeiend. Dat is geen probleem zolang je weet wie waarover gaat.</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200"/>
        <w:gridCol w:w="3200"/>
        <w:gridCol w:w="3620"/>
      </w:tblGrid>
      <w:tr>
        <w:trPr>
          <w:tblHeader/>
        </w:trPr>
        <w:tc>
          <w:tcPr>
            <w:tcW w:type="dxa" w:w="2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Discipline</w:t>
            </w:r>
          </w:p>
        </w:tc>
        <w:tc>
          <w:tcPr>
            <w:tcW w:type="dxa" w:w="3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Beslist over</w:t>
            </w:r>
          </w:p>
        </w:tc>
        <w:tc>
          <w:tcPr>
            <w:tcW w:type="dxa" w:w="36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Waar de grens schuurt</w:t>
            </w:r>
          </w:p>
        </w:tc>
      </w:tr>
      <w:tr>
        <w:tc>
          <w:tcPr>
            <w:tcW w:type="dxa" w:w="2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Businessarchitectuur</w:t>
            </w:r>
          </w:p>
        </w:tc>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Capabilities, processen, organisatie</w:t>
            </w:r>
          </w:p>
        </w:tc>
        <w:tc>
          <w:tcPr>
            <w:tcW w:type="dxa" w:w="36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Wie bepaalt welke informatie een capability nodig heeft?</w:t>
            </w:r>
          </w:p>
        </w:tc>
      </w:tr>
      <w:tr>
        <w:tc>
          <w:tcPr>
            <w:tcW w:type="dxa" w:w="2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Applicatiearchitectuur</w:t>
            </w:r>
          </w:p>
        </w:tc>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Welke applicaties, hoe gekoppeld</w:t>
            </w:r>
          </w:p>
        </w:tc>
        <w:tc>
          <w:tcPr>
            <w:tcW w:type="dxa" w:w="36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Wie bepaalt welk systeem de bron van waarheid is?</w:t>
            </w:r>
          </w:p>
        </w:tc>
      </w:tr>
      <w:tr>
        <w:tc>
          <w:tcPr>
            <w:tcW w:type="dxa" w:w="2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Technologiearchitectuur</w:t>
            </w:r>
          </w:p>
        </w:tc>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Platformen, infrastructuur, cloud</w:t>
            </w:r>
          </w:p>
        </w:tc>
        <w:tc>
          <w:tcPr>
            <w:tcW w:type="dxa" w:w="36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Wie bepaalt waar data fysiek staat en waarom?</w:t>
            </w:r>
          </w:p>
        </w:tc>
      </w:tr>
      <w:tr>
        <w:tc>
          <w:tcPr>
            <w:tcW w:type="dxa" w:w="2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Securityarchitectuur</w:t>
            </w:r>
          </w:p>
        </w:tc>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Beveiligingsmaatregelen en zones</w:t>
            </w:r>
          </w:p>
        </w:tc>
        <w:tc>
          <w:tcPr>
            <w:tcW w:type="dxa" w:w="36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Wie bepaalt de classificatie van een datadomein?</w:t>
            </w:r>
          </w:p>
        </w:tc>
      </w:tr>
      <w:tr>
        <w:tc>
          <w:tcPr>
            <w:tcW w:type="dxa" w:w="2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Data-architectuur</w:t>
            </w:r>
          </w:p>
        </w:tc>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Betekenis, samenhang, herkomst, eigenaarschap</w:t>
            </w:r>
          </w:p>
        </w:tc>
        <w:tc>
          <w:tcPr>
            <w:tcW w:type="dxa" w:w="36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t>
            </w:r>
          </w:p>
        </w:tc>
      </w:tr>
    </w:tbl>
    <w:p>
      <w:pPr>
        <w:spacing w:after="140"/>
      </w:pPr>
      <w:r>
        <w:t xml:space="preserve"/>
      </w:r>
    </w:p>
    <w:p>
      <w:pPr>
        <w:spacing w:after="140" w:line="288"/>
      </w:pPr>
      <w:r>
        <w:rPr>
          <w:rFonts w:ascii="Calibri" w:cs="Calibri" w:eastAsia="Calibri" w:hAnsi="Calibri"/>
          <w:color w:val="0E1A1C"/>
          <w:sz w:val="21"/>
          <w:szCs w:val="21"/>
        </w:rPr>
        <w:t xml:space="preserve">De tweede rij is de belangrijkste en de meest betwiste. Applicatiearchitecten wijzen doorgaans het systeem aan dat het meest volledig of het nieuwst is; data-architecten wijzen het systeem aan waar het gegeven ontstaat en waar het eigenaarschap ligt. Die twee vallen niet altijd samen, en het verschil wordt zelden expliciet uitgevochten — het sijpelt weg in een ontwerpdocument.</w:t>
      </w:r>
    </w:p>
    <w:p>
      <w:pPr>
        <w:pStyle w:val="Heading3"/>
        <w:spacing w:after="100" w:before="240"/>
      </w:pPr>
      <w:r>
        <w:rPr>
          <w:rFonts w:ascii="Calibri" w:cs="Calibri" w:eastAsia="Calibri" w:hAnsi="Calibri"/>
          <w:b/>
          <w:bCs/>
          <w:color w:val="3F7D74"/>
          <w:sz w:val="22"/>
          <w:szCs w:val="22"/>
        </w:rPr>
        <w:t xml:space="preserve">TOGAF en ArchiMate op leesniveau</w:t>
      </w:r>
    </w:p>
    <w:p>
      <w:pPr>
        <w:spacing w:after="140" w:line="288"/>
      </w:pPr>
      <w:r>
        <w:rPr>
          <w:rFonts w:ascii="Calibri" w:cs="Calibri" w:eastAsia="Calibri" w:hAnsi="Calibri"/>
          <w:color w:val="0E1A1C"/>
          <w:sz w:val="21"/>
          <w:szCs w:val="21"/>
        </w:rPr>
        <w:t xml:space="preserve">Je hoeft geen gecertificeerd architect te zijn, maar je moet in een architectuuroverleg kunnen meelezen. Drie dingen volstaan.</w:t>
      </w:r>
    </w:p>
    <w:p>
      <w:pPr>
        <w:pStyle w:val="ListParagraph"/>
        <w:numPr>
          <w:ilvl w:val="0"/>
          <w:numId w:val="3"/>
        </w:numPr>
        <w:spacing w:after="70" w:line="280"/>
      </w:pPr>
      <w:r>
        <w:rPr>
          <w:rFonts w:ascii="Calibri" w:cs="Calibri" w:eastAsia="Calibri" w:hAnsi="Calibri"/>
          <w:color w:val="0E1A1C"/>
          <w:sz w:val="21"/>
          <w:szCs w:val="21"/>
        </w:rPr>
        <w:t xml:space="preserve">De lagen: strategie, business, applicatie, technologie, en de motivatie-elementen daarnaast. Data-objecten leven op de applicatielaag; bedrijfsobjecten op de businesslaag. Dat onderscheid is precies het onderscheid tussen logisch en conceptueel uit deel 12.</w:t>
      </w:r>
    </w:p>
    <w:p>
      <w:pPr>
        <w:pStyle w:val="ListParagraph"/>
        <w:numPr>
          <w:ilvl w:val="0"/>
          <w:numId w:val="3"/>
        </w:numPr>
        <w:spacing w:after="70" w:line="280"/>
      </w:pPr>
      <w:r>
        <w:rPr>
          <w:rFonts w:ascii="Calibri" w:cs="Calibri" w:eastAsia="Calibri" w:hAnsi="Calibri"/>
          <w:color w:val="0E1A1C"/>
          <w:sz w:val="21"/>
          <w:szCs w:val="21"/>
        </w:rPr>
        <w:t xml:space="preserve">De relaties: realisatie, toewijzing, toegang, aggregatie. Wie ze verwart, leest een plaat verkeerd — en de meeste architectuurplaten zijn op dit punt slordig.</w:t>
      </w:r>
    </w:p>
    <w:p>
      <w:pPr>
        <w:pStyle w:val="ListParagraph"/>
        <w:numPr>
          <w:ilvl w:val="0"/>
          <w:numId w:val="3"/>
        </w:numPr>
        <w:spacing w:after="70" w:line="280"/>
      </w:pPr>
      <w:r>
        <w:rPr>
          <w:rFonts w:ascii="Calibri" w:cs="Calibri" w:eastAsia="Calibri" w:hAnsi="Calibri"/>
          <w:color w:val="0E1A1C"/>
          <w:sz w:val="21"/>
          <w:szCs w:val="21"/>
        </w:rPr>
        <w:t xml:space="preserve">De motivatie-elementen: driver, doel, principe, eis. Een principe zonder driver is een mening met een kader eromheen.</w:t>
      </w:r>
    </w:p>
    <w:p>
      <w:pPr>
        <w:spacing w:after="140" w:line="288"/>
      </w:pPr>
      <w:r>
        <w:rPr>
          <w:rFonts w:ascii="Calibri" w:cs="Calibri" w:eastAsia="Calibri" w:hAnsi="Calibri"/>
          <w:color w:val="0E1A1C"/>
          <w:sz w:val="21"/>
          <w:szCs w:val="21"/>
        </w:rPr>
        <w:t xml:space="preserve">De gebruikelijke architectuurcyclus — van visie via de architectuurlagen naar migratieplanning en governance — is bruikbaar als denkraam, mits je hem niet als projectplan behandelt. In de praktijk doorloop je hem zelden lineair.</w:t>
      </w:r>
    </w:p>
    <w:p>
      <w:pPr>
        <w:pStyle w:val="Heading1"/>
        <w:spacing w:after="200" w:before="420"/>
      </w:pPr>
      <w:r>
        <w:rPr>
          <w:rFonts w:ascii="Cambria" w:cs="Cambria" w:eastAsia="Cambria" w:hAnsi="Cambria"/>
          <w:b/>
          <w:bCs/>
          <w:color w:val="1B4A48"/>
          <w:sz w:val="34"/>
          <w:szCs w:val="34"/>
        </w:rPr>
        <w:t xml:space="preserve">3. Capability-gedreven ontwerp</w:t>
      </w:r>
    </w:p>
    <w:p>
      <w:pPr>
        <w:spacing w:after="140" w:line="288"/>
      </w:pPr>
      <w:r>
        <w:rPr>
          <w:rFonts w:ascii="Calibri" w:cs="Calibri" w:eastAsia="Calibri" w:hAnsi="Calibri"/>
          <w:color w:val="0E1A1C"/>
          <w:sz w:val="21"/>
          <w:szCs w:val="21"/>
        </w:rPr>
        <w:t xml:space="preserve">De klassieke fout is het landschap ontwerpen vanuit de systemen die er zijn. Dat levert een plaat op die het heden beschrijft en de toekomst niet stuurt. Capability-gedreven ontwerp begint bij wat de organisatie moet kunnen.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100"/>
        <w:gridCol w:w="3200"/>
        <w:gridCol w:w="3720"/>
      </w:tblGrid>
      <w:tr>
        <w:trPr>
          <w:tblHeader/>
        </w:trPr>
        <w:tc>
          <w:tcPr>
            <w:tcW w:type="dxa" w:w="21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Stap</w:t>
            </w:r>
          </w:p>
        </w:tc>
        <w:tc>
          <w:tcPr>
            <w:tcW w:type="dxa" w:w="3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Vraag</w:t>
            </w:r>
          </w:p>
        </w:tc>
        <w:tc>
          <w:tcPr>
            <w:tcW w:type="dxa" w:w="37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Bij de fusie</w:t>
            </w:r>
          </w:p>
        </w:tc>
      </w:tr>
      <w:tr>
        <w:tc>
          <w:tcPr>
            <w:tcW w:type="dxa" w:w="21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Capabilities benoemen</w:t>
            </w:r>
          </w:p>
        </w:tc>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Wat moet de gefuseerde organisatie kunnen?</w:t>
            </w:r>
          </w:p>
        </w:tc>
        <w:tc>
          <w:tcPr>
            <w:tcW w:type="dxa" w:w="37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Deelnemer bedienen, premie innen, vermogen beheren, verantwoorden</w:t>
            </w:r>
          </w:p>
        </w:tc>
      </w:tr>
      <w:tr>
        <w:tc>
          <w:tcPr>
            <w:tcW w:type="dxa" w:w="21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Informatiebehoefte afleiden</w:t>
            </w:r>
          </w:p>
        </w:tc>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Welke informatie heeft die capability nodig?</w:t>
            </w:r>
          </w:p>
        </w:tc>
        <w:tc>
          <w:tcPr>
            <w:tcW w:type="dxa" w:w="37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Eén deelnemersbeeld over beide portefeuilles</w:t>
            </w:r>
          </w:p>
        </w:tc>
      </w:tr>
      <w:tr>
        <w:tc>
          <w:tcPr>
            <w:tcW w:type="dxa" w:w="21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Datadomeinen bepalen</w:t>
            </w:r>
          </w:p>
        </w:tc>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Welke samenhangende gebieden volgen daaruit?</w:t>
            </w:r>
          </w:p>
        </w:tc>
        <w:tc>
          <w:tcPr>
            <w:tcW w:type="dxa" w:w="37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Deelnemer, Werkgever, Regeling, Belegging, Financieel</w:t>
            </w:r>
          </w:p>
        </w:tc>
      </w:tr>
      <w:tr>
        <w:tc>
          <w:tcPr>
            <w:tcW w:type="dxa" w:w="21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Bron aanwijzen</w:t>
            </w:r>
          </w:p>
        </w:tc>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Welk systeem levert dit gegeven gezaghebbend?</w:t>
            </w:r>
          </w:p>
        </w:tc>
        <w:tc>
          <w:tcPr>
            <w:tcW w:type="dxa" w:w="37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Het conflict: twee kandidaten per domein</w:t>
            </w:r>
          </w:p>
        </w:tc>
      </w:tr>
      <w:tr>
        <w:tc>
          <w:tcPr>
            <w:tcW w:type="dxa" w:w="21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Gaten benoemen</w:t>
            </w:r>
          </w:p>
        </w:tc>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Welke capability heeft geen bron?</w:t>
            </w:r>
          </w:p>
        </w:tc>
        <w:tc>
          <w:tcPr>
            <w:tcW w:type="dxa" w:w="37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Verantwoording over de gecombineerde portefeuille</w:t>
            </w:r>
          </w:p>
        </w:tc>
      </w:tr>
    </w:tbl>
    <w:p>
      <w:pPr>
        <w:spacing w:after="140"/>
      </w:pPr>
      <w:r>
        <w:t xml:space="preserve"/>
      </w:r>
    </w:p>
    <w:p>
      <w:pPr>
        <w:spacing w:after="140" w:line="288"/>
      </w:pPr>
      <w:r>
        <w:rPr>
          <w:rFonts w:ascii="Calibri" w:cs="Calibri" w:eastAsia="Calibri" w:hAnsi="Calibri"/>
          <w:color w:val="0E1A1C"/>
          <w:sz w:val="21"/>
          <w:szCs w:val="21"/>
        </w:rPr>
        <w:t xml:space="preserve">De laatste stap wordt het vaakst overgeslagen en levert het meeste op. Een capability zonder aanwijsbare informatiebron is een risico dat pas zichtbaar wordt op het moment dat iemand ernaar vraagt — doorgaans een toezichthouder, en doorgaans onder tijdsdruk.</w:t>
      </w:r>
    </w:p>
    <w:p>
      <w:r>
        <w:br w:type="page"/>
      </w:r>
    </w:p>
    <w:p>
      <w:pPr>
        <w:pStyle w:val="Heading1"/>
        <w:spacing w:after="200" w:before="420"/>
      </w:pPr>
      <w:r>
        <w:rPr>
          <w:rFonts w:ascii="Cambria" w:cs="Cambria" w:eastAsia="Cambria" w:hAnsi="Cambria"/>
          <w:b/>
          <w:bCs/>
          <w:color w:val="1B4A48"/>
          <w:sz w:val="34"/>
          <w:szCs w:val="34"/>
        </w:rPr>
        <w:t xml:space="preserve">4. Architectuurprincipes</w:t>
      </w:r>
    </w:p>
    <w:p>
      <w:pPr>
        <w:spacing w:after="140" w:line="288"/>
      </w:pPr>
      <w:r>
        <w:rPr>
          <w:rFonts w:ascii="Calibri" w:cs="Calibri" w:eastAsia="Calibri" w:hAnsi="Calibri"/>
          <w:color w:val="0E1A1C"/>
          <w:sz w:val="21"/>
          <w:szCs w:val="21"/>
        </w:rPr>
        <w:t xml:space="preserve">Een principe legt vast welke keuze niet per project opnieuw wordt gemaakt. Dat is zijn hele functie, en het is de reden dat een principe zonder consequentie waardeloos is.</w:t>
      </w:r>
    </w:p>
    <w:p>
      <w:pPr>
        <w:pStyle w:val="Heading3"/>
        <w:spacing w:after="100" w:before="240"/>
      </w:pPr>
      <w:r>
        <w:rPr>
          <w:rFonts w:ascii="Calibri" w:cs="Calibri" w:eastAsia="Calibri" w:hAnsi="Calibri"/>
          <w:b/>
          <w:bCs/>
          <w:color w:val="3F7D74"/>
          <w:sz w:val="22"/>
          <w:szCs w:val="22"/>
        </w:rPr>
        <w:t xml:space="preserve">Anatomie</w:t>
      </w:r>
    </w:p>
    <w:p>
      <w:pPr>
        <w:pStyle w:val="ListParagraph"/>
        <w:numPr>
          <w:ilvl w:val="0"/>
          <w:numId w:val="4"/>
        </w:numPr>
        <w:spacing w:after="70" w:line="280"/>
      </w:pPr>
      <w:r>
        <w:rPr>
          <w:rFonts w:ascii="Calibri" w:cs="Calibri" w:eastAsia="Calibri" w:hAnsi="Calibri"/>
          <w:color w:val="0E1A1C"/>
          <w:sz w:val="21"/>
          <w:szCs w:val="21"/>
        </w:rPr>
        <w:t xml:space="preserve">Uitspraak: één zin, in de gebiedende wijs, die een keuze vastlegt.</w:t>
      </w:r>
    </w:p>
    <w:p>
      <w:pPr>
        <w:pStyle w:val="ListParagraph"/>
        <w:numPr>
          <w:ilvl w:val="0"/>
          <w:numId w:val="4"/>
        </w:numPr>
        <w:spacing w:after="70" w:line="280"/>
      </w:pPr>
      <w:r>
        <w:rPr>
          <w:rFonts w:ascii="Calibri" w:cs="Calibri" w:eastAsia="Calibri" w:hAnsi="Calibri"/>
          <w:color w:val="0E1A1C"/>
          <w:sz w:val="21"/>
          <w:szCs w:val="21"/>
        </w:rPr>
        <w:t xml:space="preserve">Rationale: waarom deze keuze, en welk probleem hij voorkomt.</w:t>
      </w:r>
    </w:p>
    <w:p>
      <w:pPr>
        <w:pStyle w:val="ListParagraph"/>
        <w:numPr>
          <w:ilvl w:val="0"/>
          <w:numId w:val="4"/>
        </w:numPr>
        <w:spacing w:after="70" w:line="280"/>
      </w:pPr>
      <w:r>
        <w:rPr>
          <w:rFonts w:ascii="Calibri" w:cs="Calibri" w:eastAsia="Calibri" w:hAnsi="Calibri"/>
          <w:color w:val="0E1A1C"/>
          <w:sz w:val="21"/>
          <w:szCs w:val="21"/>
        </w:rPr>
        <w:t xml:space="preserve">Implicaties: wat dit betekent voor wie iets bouwt — het onderdeel dat het vaakst ontbreekt.</w:t>
      </w:r>
    </w:p>
    <w:p>
      <w:pPr>
        <w:pStyle w:val="ListParagraph"/>
        <w:numPr>
          <w:ilvl w:val="0"/>
          <w:numId w:val="4"/>
        </w:numPr>
        <w:spacing w:after="70" w:line="280"/>
      </w:pPr>
      <w:r>
        <w:rPr>
          <w:rFonts w:ascii="Calibri" w:cs="Calibri" w:eastAsia="Calibri" w:hAnsi="Calibri"/>
          <w:color w:val="0E1A1C"/>
          <w:sz w:val="21"/>
          <w:szCs w:val="21"/>
        </w:rPr>
        <w:t xml:space="preserve">Uitzonderingsregime: wanneer mag je afwijken, wie beslist dat, en met welke termijn.</w:t>
      </w:r>
    </w:p>
    <w:p>
      <w:pPr>
        <w:pStyle w:val="Heading3"/>
        <w:spacing w:after="100" w:before="240"/>
      </w:pPr>
      <w:r>
        <w:rPr>
          <w:rFonts w:ascii="Calibri" w:cs="Calibri" w:eastAsia="Calibri" w:hAnsi="Calibri"/>
          <w:b/>
          <w:bCs/>
          <w:color w:val="3F7D74"/>
          <w:sz w:val="22"/>
          <w:szCs w:val="22"/>
        </w:rPr>
        <w:t xml:space="preserve">De toets</w:t>
      </w:r>
    </w:p>
    <w:p>
      <w:pPr>
        <w:spacing w:after="140" w:line="288"/>
      </w:pPr>
      <w:r>
        <w:rPr>
          <w:rFonts w:ascii="Calibri" w:cs="Calibri" w:eastAsia="Calibri" w:hAnsi="Calibri"/>
          <w:color w:val="0E1A1C"/>
          <w:sz w:val="21"/>
          <w:szCs w:val="21"/>
        </w:rPr>
        <w:t xml:space="preserve">Een bruikbaar principe sluit iets uit. Als er geen realistisch project denkbaar is dat door dit principe wordt geraakt, is het een wenselijkheid en geen principe. Toets elk voorgesteld principe met de vraag: welk voorstel dat iemand vorig jaar deed, zou hierdoor zijn afgewezen?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3000"/>
        <w:gridCol w:w="2400"/>
        <w:gridCol w:w="3620"/>
      </w:tblGrid>
      <w:tr>
        <w:trPr>
          <w:tblHeader/>
        </w:trPr>
        <w:tc>
          <w:tcPr>
            <w:tcW w:type="dxa" w:w="30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Voorbeeld</w:t>
            </w:r>
          </w:p>
        </w:tc>
        <w:tc>
          <w:tcPr>
            <w:tcW w:type="dxa" w:w="2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Principe of wenselijkheid?</w:t>
            </w:r>
          </w:p>
        </w:tc>
        <w:tc>
          <w:tcPr>
            <w:tcW w:type="dxa" w:w="36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Waarom</w:t>
            </w:r>
          </w:p>
        </w:tc>
      </w:tr>
      <w:tr>
        <w:tc>
          <w:tcPr>
            <w:tcW w:type="dxa" w:w="3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wordt eenmalig vastgelegd en meervoudig gebruikt."</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Principe</w:t>
            </w:r>
          </w:p>
        </w:tc>
        <w:tc>
          <w:tcPr>
            <w:tcW w:type="dxa" w:w="36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Sluit uit dat een project een eigen kopie aanlegt; heeft directe implicaties</w:t>
            </w:r>
          </w:p>
        </w:tc>
      </w:tr>
      <w:tr>
        <w:tc>
          <w:tcPr>
            <w:tcW w:type="dxa" w:w="3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"Wij streven naar hoge datakwaliteit."</w:t>
            </w:r>
          </w:p>
        </w:tc>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Wenselijkheid</w:t>
            </w:r>
          </w:p>
        </w:tc>
        <w:tc>
          <w:tcPr>
            <w:tcW w:type="dxa" w:w="36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Sluit niets uit; geen enkel project wordt hierdoor geraakt</w:t>
            </w:r>
          </w:p>
        </w:tc>
      </w:tr>
      <w:tr>
        <w:tc>
          <w:tcPr>
            <w:tcW w:type="dxa" w:w="3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"Elk gegeven heeft één aangewezen bron van waarheid."</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Principe</w:t>
            </w:r>
          </w:p>
        </w:tc>
        <w:tc>
          <w:tcPr>
            <w:tcW w:type="dxa" w:w="36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Dwingt bij de fusie tot een keuze per domein</w:t>
            </w:r>
          </w:p>
        </w:tc>
      </w:tr>
      <w:tr>
        <w:tc>
          <w:tcPr>
            <w:tcW w:type="dxa" w:w="3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"Wij werken cloud-first."</w:t>
            </w:r>
          </w:p>
        </w:tc>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Hangt ervan af</w:t>
            </w:r>
          </w:p>
        </w:tc>
        <w:tc>
          <w:tcPr>
            <w:tcW w:type="dxa" w:w="36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Principe als er een uitzonderingsregime bij staat; anders een voorkeur</w:t>
            </w:r>
          </w:p>
        </w:tc>
      </w:tr>
    </w:tbl>
    <w:p>
      <w:pPr>
        <w:spacing w:after="1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Het aantal</w:t>
            </w:r>
          </w:p>
          <w:p>
            <w:pPr>
              <w:spacing w:after="60" w:line="280"/>
            </w:pPr>
            <w:r>
              <w:rPr>
                <w:rFonts w:ascii="Calibri" w:cs="Calibri" w:eastAsia="Calibri" w:hAnsi="Calibri"/>
                <w:color w:val="0E1A1C"/>
                <w:sz w:val="20"/>
                <w:szCs w:val="20"/>
              </w:rPr>
              <w:t xml:space="preserve">Meer dan tien principes worden niet onthouden en dus niet toegepast. Bij de fusie is de verleiding groot om de principes van beide organisaties op te tellen — dat levert er vijfentwintig op waarvan er zes elkaar tegenspreken. Kies er zes tot acht, en maak de tegenspraak expliciet in plaats van hem weg te schrijven.</w:t>
            </w:r>
          </w:p>
        </w:tc>
      </w:tr>
    </w:tbl>
    <w:p>
      <w:pPr>
        <w:pStyle w:val="Heading1"/>
        <w:spacing w:after="200" w:before="420"/>
      </w:pPr>
      <w:r>
        <w:rPr>
          <w:rFonts w:ascii="Cambria" w:cs="Cambria" w:eastAsia="Cambria" w:hAnsi="Cambria"/>
          <w:b/>
          <w:bCs/>
          <w:color w:val="1B4A48"/>
          <w:sz w:val="34"/>
          <w:szCs w:val="34"/>
        </w:rPr>
        <w:t xml:space="preserve">5. Architectuurbesluiten vastleggen</w:t>
      </w:r>
    </w:p>
    <w:p>
      <w:pPr>
        <w:spacing w:after="140" w:line="288"/>
      </w:pPr>
      <w:r>
        <w:rPr>
          <w:rFonts w:ascii="Calibri" w:cs="Calibri" w:eastAsia="Calibri" w:hAnsi="Calibri"/>
          <w:color w:val="0E1A1C"/>
          <w:sz w:val="21"/>
          <w:szCs w:val="21"/>
        </w:rPr>
        <w:t xml:space="preserve">Een architectuurbesluit dat niet is vastgelegd, wordt over twee jaar opnieuw genomen — vaak anders, door iemand die de overwegingen niet kende. Een besluitregistratie hoeft niet lang te zijn; één pagina volstaat.</w:t>
      </w:r>
    </w:p>
    <w:p>
      <w:pPr>
        <w:pStyle w:val="ListParagraph"/>
        <w:numPr>
          <w:ilvl w:val="0"/>
          <w:numId w:val="3"/>
        </w:numPr>
        <w:spacing w:after="70" w:line="280"/>
      </w:pPr>
      <w:r>
        <w:rPr>
          <w:rFonts w:ascii="Calibri" w:cs="Calibri" w:eastAsia="Calibri" w:hAnsi="Calibri"/>
          <w:color w:val="0E1A1C"/>
          <w:sz w:val="21"/>
          <w:szCs w:val="21"/>
        </w:rPr>
        <w:t xml:space="preserve">Context: welke vraag lag er, en wat maakte hem urgent?</w:t>
      </w:r>
    </w:p>
    <w:p>
      <w:pPr>
        <w:pStyle w:val="ListParagraph"/>
        <w:numPr>
          <w:ilvl w:val="0"/>
          <w:numId w:val="3"/>
        </w:numPr>
        <w:spacing w:after="70" w:line="280"/>
      </w:pPr>
      <w:r>
        <w:rPr>
          <w:rFonts w:ascii="Calibri" w:cs="Calibri" w:eastAsia="Calibri" w:hAnsi="Calibri"/>
          <w:color w:val="0E1A1C"/>
          <w:sz w:val="21"/>
          <w:szCs w:val="21"/>
        </w:rPr>
        <w:t xml:space="preserve">Overwogen opties, inclusief de opties die zijn afgevallen. Dit is het onderdeel dat over vijf jaar het meeste waard is.</w:t>
      </w:r>
    </w:p>
    <w:p>
      <w:pPr>
        <w:pStyle w:val="ListParagraph"/>
        <w:numPr>
          <w:ilvl w:val="0"/>
          <w:numId w:val="3"/>
        </w:numPr>
        <w:spacing w:after="70" w:line="280"/>
      </w:pPr>
      <w:r>
        <w:rPr>
          <w:rFonts w:ascii="Calibri" w:cs="Calibri" w:eastAsia="Calibri" w:hAnsi="Calibri"/>
          <w:color w:val="0E1A1C"/>
          <w:sz w:val="21"/>
          <w:szCs w:val="21"/>
        </w:rPr>
        <w:t xml:space="preserve">Besluit: wat is gekozen.</w:t>
      </w:r>
    </w:p>
    <w:p>
      <w:pPr>
        <w:pStyle w:val="ListParagraph"/>
        <w:numPr>
          <w:ilvl w:val="0"/>
          <w:numId w:val="3"/>
        </w:numPr>
        <w:spacing w:after="70" w:line="280"/>
      </w:pPr>
      <w:r>
        <w:rPr>
          <w:rFonts w:ascii="Calibri" w:cs="Calibri" w:eastAsia="Calibri" w:hAnsi="Calibri"/>
          <w:color w:val="0E1A1C"/>
          <w:sz w:val="21"/>
          <w:szCs w:val="21"/>
        </w:rPr>
        <w:t xml:space="preserve">Gevolgen: wat wordt hierdoor makkelijker, en wat moeilijker. Beide.</w:t>
      </w:r>
    </w:p>
    <w:p>
      <w:pPr>
        <w:pStyle w:val="ListParagraph"/>
        <w:numPr>
          <w:ilvl w:val="0"/>
          <w:numId w:val="3"/>
        </w:numPr>
        <w:spacing w:after="70" w:line="280"/>
      </w:pPr>
      <w:r>
        <w:rPr>
          <w:rFonts w:ascii="Calibri" w:cs="Calibri" w:eastAsia="Calibri" w:hAnsi="Calibri"/>
          <w:color w:val="0E1A1C"/>
          <w:sz w:val="21"/>
          <w:szCs w:val="21"/>
        </w:rPr>
        <w:t xml:space="preserve">Status en datum, met een herzieningsmoment.</w:t>
      </w:r>
    </w:p>
    <w:p>
      <w:pPr>
        <w:spacing w:after="140" w:line="288"/>
      </w:pPr>
      <w:r>
        <w:rPr>
          <w:rFonts w:ascii="Calibri" w:cs="Calibri" w:eastAsia="Calibri" w:hAnsi="Calibri"/>
          <w:color w:val="0E1A1C"/>
          <w:sz w:val="21"/>
          <w:szCs w:val="21"/>
        </w:rPr>
        <w:t xml:space="preserve">De afgevallen opties zijn de kern. Wie over vijf jaar leest dat er voor een centraal deelnemersbeeld is gekozen, wil weten of federatieve varianten zijn overwogen en waarom ze afvielen — anders begint de discussie opnieuw, met dezelfde argumenten en zonder de context van toen.</w:t>
      </w:r>
    </w:p>
    <w:p>
      <w:pPr>
        <w:pStyle w:val="Heading1"/>
        <w:spacing w:after="200" w:before="420"/>
      </w:pPr>
      <w:r>
        <w:rPr>
          <w:rFonts w:ascii="Cambria" w:cs="Cambria" w:eastAsia="Cambria" w:hAnsi="Cambria"/>
          <w:b/>
          <w:bCs/>
          <w:color w:val="1B4A48"/>
          <w:sz w:val="34"/>
          <w:szCs w:val="34"/>
        </w:rPr>
        <w:t xml:space="preserve">6. Landschapsrationalisatie</w:t>
      </w:r>
    </w:p>
    <w:p>
      <w:pPr>
        <w:spacing w:after="140" w:line="288"/>
      </w:pPr>
      <w:r>
        <w:rPr>
          <w:rFonts w:ascii="Calibri" w:cs="Calibri" w:eastAsia="Calibri" w:hAnsi="Calibri"/>
          <w:color w:val="0E1A1C"/>
          <w:sz w:val="21"/>
          <w:szCs w:val="21"/>
        </w:rPr>
        <w:t xml:space="preserve">Bij een fusie verdubbelt het landschap en verdriedubbelt het aantal koppelingen. Rationaliseren is geen opruimactie maar een portefeuillebeslissing met expliciete criteria.</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900"/>
        <w:gridCol w:w="3300"/>
        <w:gridCol w:w="3820"/>
      </w:tblGrid>
      <w:tr>
        <w:trPr>
          <w:tblHeader/>
        </w:trPr>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Criterium</w:t>
            </w:r>
          </w:p>
        </w:tc>
        <w:tc>
          <w:tcPr>
            <w:tcW w:type="dxa" w:w="33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je beoordeelt</w:t>
            </w:r>
          </w:p>
        </w:tc>
        <w:tc>
          <w:tcPr>
            <w:tcW w:type="dxa" w:w="38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Let op</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Functionele overlap</w:t>
            </w:r>
          </w:p>
        </w:tc>
        <w:tc>
          <w:tcPr>
            <w:tcW w:type="dxa" w:w="3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Doen twee systemen hetzelfde?</w:t>
            </w:r>
          </w:p>
        </w:tc>
        <w:tc>
          <w:tcPr>
            <w:tcW w:type="dxa" w:w="3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Overlap is zelden volledig; de rest bepaalt de kosten</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Datakwaliteit</w:t>
            </w:r>
          </w:p>
        </w:tc>
        <w:tc>
          <w:tcPr>
            <w:tcW w:type="dxa" w:w="3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Welk systeem levert betrouwbaarder gegevens?</w:t>
            </w:r>
          </w:p>
        </w:tc>
        <w:tc>
          <w:tcPr>
            <w:tcW w:type="dxa" w:w="3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Meet het, niet op reputatie — zie deel 15</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Levensduur</w:t>
            </w:r>
          </w:p>
        </w:tc>
        <w:tc>
          <w:tcPr>
            <w:tcW w:type="dxa" w:w="3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Hoe lang gaat dit systeem nog mee?</w:t>
            </w:r>
          </w:p>
        </w:tc>
        <w:tc>
          <w:tcPr>
            <w:tcW w:type="dxa" w:w="3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nieuwer systeem is niet automatisch beter</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Afhankelijkheden</w:t>
            </w:r>
          </w:p>
        </w:tc>
        <w:tc>
          <w:tcPr>
            <w:tcW w:type="dxa" w:w="3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Wie hangt eraan, en hoe strak?</w:t>
            </w:r>
          </w:p>
        </w:tc>
        <w:tc>
          <w:tcPr>
            <w:tcW w:type="dxa" w:w="3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verborgen kosten zitten hier</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Kennis</w:t>
            </w:r>
          </w:p>
        </w:tc>
        <w:tc>
          <w:tcPr>
            <w:tcW w:type="dxa" w:w="3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Wie kan dit systeem nog beheren?</w:t>
            </w:r>
          </w:p>
        </w:tc>
        <w:tc>
          <w:tcPr>
            <w:tcW w:type="dxa" w:w="3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Vaak doorslaggevend en zelden in de business case</w:t>
            </w:r>
          </w:p>
        </w:tc>
      </w:tr>
    </w:tbl>
    <w:p>
      <w:pPr>
        <w:spacing w:after="140"/>
      </w:pPr>
      <w:r>
        <w:t xml:space="preserve"/>
      </w:r>
    </w:p>
    <w:p>
      <w:pPr>
        <w:spacing w:after="140" w:line="288"/>
      </w:pPr>
      <w:r>
        <w:rPr>
          <w:rFonts w:ascii="Calibri" w:cs="Calibri" w:eastAsia="Calibri" w:hAnsi="Calibri"/>
          <w:color w:val="0E1A1C"/>
          <w:sz w:val="21"/>
          <w:szCs w:val="21"/>
        </w:rPr>
        <w:t xml:space="preserve">De laatste rij verdient bijzondere aandacht bij een fusie. Een systeem dat door drie mensen wordt beheerd van wie er twee bij de reorganisatie vertrekken, is een risico ongeacht zijn technische kwaliteit. Dat argument wordt in architectuurdiscussies zelden genoemd en beslist in de praktijk vaak de uitkomst.</w:t>
      </w:r>
    </w:p>
    <w:p>
      <w:r>
        <w:br w:type="page"/>
      </w:r>
    </w:p>
    <w:p>
      <w:pPr>
        <w:pStyle w:val="Heading1"/>
        <w:spacing w:after="200" w:before="420"/>
      </w:pPr>
      <w:r>
        <w:rPr>
          <w:rFonts w:ascii="Cambria" w:cs="Cambria" w:eastAsia="Cambria" w:hAnsi="Cambria"/>
          <w:b/>
          <w:bCs/>
          <w:color w:val="1B4A48"/>
          <w:sz w:val="34"/>
          <w:szCs w:val="34"/>
        </w:rPr>
        <w:t xml:space="preserve">7. Migratiestrategieën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600"/>
        <w:gridCol w:w="2900"/>
        <w:gridCol w:w="2600"/>
        <w:gridCol w:w="1920"/>
      </w:tblGrid>
      <w:tr>
        <w:trPr>
          <w:tblHeader/>
        </w:trPr>
        <w:tc>
          <w:tcPr>
            <w:tcW w:type="dxa" w:w="1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Strategie</w:t>
            </w:r>
          </w:p>
        </w:tc>
        <w:tc>
          <w:tcPr>
            <w:tcW w:type="dxa" w:w="2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Hoe het werkt</w:t>
            </w:r>
          </w:p>
        </w:tc>
        <w:tc>
          <w:tcPr>
            <w:tcW w:type="dxa" w:w="2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Verplaatst het risico naar</w:t>
            </w:r>
          </w:p>
        </w:tc>
        <w:tc>
          <w:tcPr>
            <w:tcW w:type="dxa" w:w="19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Passend bij</w:t>
            </w:r>
          </w:p>
        </w:tc>
      </w:tr>
      <w:tr>
        <w:tc>
          <w:tcPr>
            <w:tcW w:type="dxa" w:w="1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Big bang</w:t>
            </w:r>
          </w:p>
        </w:tc>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Alles tegelijk over op een vast moment</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Eén moment, met beperkte terugvalmogelijkheid</w:t>
            </w:r>
          </w:p>
        </w:tc>
        <w:tc>
          <w:tcPr>
            <w:tcW w:type="dxa" w:w="19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Kleine, goed begrepen landschappen</w:t>
            </w:r>
          </w:p>
        </w:tc>
      </w:tr>
      <w:tr>
        <w:tc>
          <w:tcPr>
            <w:tcW w:type="dxa" w:w="1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Strangler</w:t>
            </w:r>
          </w:p>
        </w:tc>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Nieuw systeem neemt stapsgewijs functies over</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lange periode waarin twee systemen naast elkaar draaien</w:t>
            </w:r>
          </w:p>
        </w:tc>
        <w:tc>
          <w:tcPr>
            <w:tcW w:type="dxa" w:w="19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Legacy met een duidelijke functionele indeling</w:t>
            </w:r>
          </w:p>
        </w:tc>
      </w:tr>
      <w:tr>
        <w:tc>
          <w:tcPr>
            <w:tcW w:type="dxa" w:w="1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Parallel draaien</w:t>
            </w:r>
          </w:p>
        </w:tc>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Beide systemen produceren, uitkomsten worden vergeleken</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Dubbele beheerlast en verwarring over de leidende uitkomst</w:t>
            </w:r>
          </w:p>
        </w:tc>
        <w:tc>
          <w:tcPr>
            <w:tcW w:type="dxa" w:w="19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Rapportageketens onder toezicht</w:t>
            </w:r>
          </w:p>
        </w:tc>
      </w:tr>
      <w:tr>
        <w:tc>
          <w:tcPr>
            <w:tcW w:type="dxa" w:w="1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Coëxistentie</w:t>
            </w:r>
          </w:p>
        </w:tc>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Beide blijven bestaan, met een afgesproken werkverdeling</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permanente complexiteit van twee waarheden</w:t>
            </w:r>
          </w:p>
        </w:tc>
        <w:tc>
          <w:tcPr>
            <w:tcW w:type="dxa" w:w="19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Situaties waarin uitfaseren niet haalbaar is</w:t>
            </w:r>
          </w:p>
        </w:tc>
      </w:tr>
    </w:tbl>
    <w:p>
      <w:pPr>
        <w:spacing w:after="140"/>
      </w:pPr>
      <w:r>
        <w:t xml:space="preserve"/>
      </w:r>
    </w:p>
    <w:p>
      <w:pPr>
        <w:spacing w:after="140" w:line="288"/>
      </w:pPr>
      <w:r>
        <w:rPr>
          <w:rFonts w:ascii="Calibri" w:cs="Calibri" w:eastAsia="Calibri" w:hAnsi="Calibri"/>
          <w:color w:val="0E1A1C"/>
          <w:sz w:val="21"/>
          <w:szCs w:val="21"/>
        </w:rPr>
        <w:t xml:space="preserve">Er bestaat geen risicoloze strategie; elke strategie verplaatst het risico. De vraag aan de board is dus niet welke strategie veilig is, maar welk risico de organisatie het beste kan dragen. Dat is een ander gesprek, en het is een gesprek waarin een board wél iets te kiezen heeft.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Parallel draaien bij toezicht</w:t>
            </w:r>
          </w:p>
          <w:p>
            <w:pPr>
              <w:spacing w:after="60" w:line="280"/>
            </w:pPr>
            <w:r>
              <w:rPr>
                <w:rFonts w:ascii="Calibri" w:cs="Calibri" w:eastAsia="Calibri" w:hAnsi="Calibri"/>
                <w:color w:val="0E1A1C"/>
                <w:sz w:val="20"/>
                <w:szCs w:val="20"/>
              </w:rPr>
              <w:t xml:space="preserve">Bij rapportageketens onder toezicht is parallel draaien vrijwel altijd de verstandige keuze, ondanks de dubbele last. De reden is niet techniek maar aantoonbaarheid: je kunt laten zien dat de nieuwe keten dezelfde uitkomsten produceert. Spreek wel vooraf af hoeveel perioden je parallel draait en welke uitkomst leidend is — zonder die afspraak duurt het jaren.</w:t>
            </w:r>
          </w:p>
        </w:tc>
      </w:tr>
    </w:tbl>
    <w:p>
      <w:pPr>
        <w:pStyle w:val="Heading1"/>
        <w:spacing w:after="200" w:before="420"/>
      </w:pPr>
      <w:r>
        <w:rPr>
          <w:rFonts w:ascii="Cambria" w:cs="Cambria" w:eastAsia="Cambria" w:hAnsi="Cambria"/>
          <w:b/>
          <w:bCs/>
          <w:color w:val="1B4A48"/>
          <w:sz w:val="34"/>
          <w:szCs w:val="34"/>
        </w:rPr>
        <w:t xml:space="preserve">8. Bron van waarheid bij twee landschappen</w:t>
      </w:r>
    </w:p>
    <w:p>
      <w:pPr>
        <w:spacing w:after="140" w:line="288"/>
      </w:pPr>
      <w:r>
        <w:rPr>
          <w:rFonts w:ascii="Calibri" w:cs="Calibri" w:eastAsia="Calibri" w:hAnsi="Calibri"/>
          <w:color w:val="0E1A1C"/>
          <w:sz w:val="21"/>
          <w:szCs w:val="21"/>
        </w:rPr>
        <w:t xml:space="preserve">Dit is de kern van de fusie-opgave. Voor elk gegeven bestaan er nu twee kandidaten, en de keuze is zelden voor alle gegevens dezelfde kant op.</w:t>
      </w:r>
    </w:p>
    <w:p>
      <w:pPr>
        <w:pStyle w:val="Heading3"/>
        <w:spacing w:after="100" w:before="240"/>
      </w:pPr>
      <w:r>
        <w:rPr>
          <w:rFonts w:ascii="Calibri" w:cs="Calibri" w:eastAsia="Calibri" w:hAnsi="Calibri"/>
          <w:b/>
          <w:bCs/>
          <w:color w:val="3F7D74"/>
          <w:sz w:val="22"/>
          <w:szCs w:val="22"/>
        </w:rPr>
        <w:t xml:space="preserve">Vier manieren waarop het misgaat</w:t>
      </w:r>
    </w:p>
    <w:p>
      <w:pPr>
        <w:pStyle w:val="ListParagraph"/>
        <w:numPr>
          <w:ilvl w:val="0"/>
          <w:numId w:val="3"/>
        </w:numPr>
        <w:spacing w:after="70" w:line="280"/>
      </w:pPr>
      <w:r>
        <w:rPr>
          <w:rFonts w:ascii="Calibri" w:cs="Calibri" w:eastAsia="Calibri" w:hAnsi="Calibri"/>
          <w:color w:val="0E1A1C"/>
          <w:sz w:val="21"/>
          <w:szCs w:val="21"/>
        </w:rPr>
        <w:t xml:space="preserve">Per systeem kiezen in plaats van per gegeven. Dat is snel besloten en levert een landschap op waarin het beste van beide wordt weggegooid.</w:t>
      </w:r>
    </w:p>
    <w:p>
      <w:pPr>
        <w:pStyle w:val="ListParagraph"/>
        <w:numPr>
          <w:ilvl w:val="0"/>
          <w:numId w:val="3"/>
        </w:numPr>
        <w:spacing w:after="70" w:line="280"/>
      </w:pPr>
      <w:r>
        <w:rPr>
          <w:rFonts w:ascii="Calibri" w:cs="Calibri" w:eastAsia="Calibri" w:hAnsi="Calibri"/>
          <w:color w:val="0E1A1C"/>
          <w:sz w:val="21"/>
          <w:szCs w:val="21"/>
        </w:rPr>
        <w:t xml:space="preserve">Kiezen op basis van organisatiepolitiek: de overnemende partij wint. Dat is begrijpelijk en het kost kwaliteit.</w:t>
      </w:r>
    </w:p>
    <w:p>
      <w:pPr>
        <w:pStyle w:val="ListParagraph"/>
        <w:numPr>
          <w:ilvl w:val="0"/>
          <w:numId w:val="3"/>
        </w:numPr>
        <w:spacing w:after="70" w:line="280"/>
      </w:pPr>
      <w:r>
        <w:rPr>
          <w:rFonts w:ascii="Calibri" w:cs="Calibri" w:eastAsia="Calibri" w:hAnsi="Calibri"/>
          <w:color w:val="0E1A1C"/>
          <w:sz w:val="21"/>
          <w:szCs w:val="21"/>
        </w:rPr>
        <w:t xml:space="preserve">De keuze uitstellen tot na de fusie. Dan ontstaan er in de tussentijd afgeleide systemen die op de verkeerde bron zijn gebouwd.</w:t>
      </w:r>
    </w:p>
    <w:p>
      <w:pPr>
        <w:pStyle w:val="ListParagraph"/>
        <w:numPr>
          <w:ilvl w:val="0"/>
          <w:numId w:val="3"/>
        </w:numPr>
        <w:spacing w:after="70" w:line="280"/>
      </w:pPr>
      <w:r>
        <w:rPr>
          <w:rFonts w:ascii="Calibri" w:cs="Calibri" w:eastAsia="Calibri" w:hAnsi="Calibri"/>
          <w:color w:val="0E1A1C"/>
          <w:sz w:val="21"/>
          <w:szCs w:val="21"/>
        </w:rPr>
        <w:t xml:space="preserve">De keuze maken zonder de definitie erbij. Twee systemen kunnen hetzelfde veld hebben met een andere betekenis — dat zijn de negentien afwijkende kernbegrippen.</w:t>
      </w:r>
    </w:p>
    <w:p>
      <w:pPr>
        <w:spacing w:after="140" w:line="288"/>
      </w:pPr>
      <w:r>
        <w:rPr>
          <w:rFonts w:ascii="Calibri" w:cs="Calibri" w:eastAsia="Calibri" w:hAnsi="Calibri"/>
          <w:color w:val="0E1A1C"/>
          <w:sz w:val="21"/>
          <w:szCs w:val="21"/>
        </w:rPr>
        <w:t xml:space="preserve">De werkbare volgorde is: eerst de definitie beslechten, dan de bron aanwijzen, dan de migratie plannen. Wie die volgorde omdraait, migreert gegevens waarvan de betekenis nog niet vaststaat — en die migratie moet later over.</w:t>
      </w:r>
    </w:p>
    <w:p>
      <w:pPr>
        <w:pStyle w:val="Heading1"/>
        <w:spacing w:after="200" w:before="420"/>
      </w:pPr>
      <w:r>
        <w:rPr>
          <w:rFonts w:ascii="Cambria" w:cs="Cambria" w:eastAsia="Cambria" w:hAnsi="Cambria"/>
          <w:b/>
          <w:bCs/>
          <w:color w:val="1B4A48"/>
          <w:sz w:val="34"/>
          <w:szCs w:val="34"/>
        </w:rPr>
        <w:t xml:space="preserve">9. Het gesprek met andere architecten</w:t>
      </w:r>
    </w:p>
    <w:p>
      <w:pPr>
        <w:pStyle w:val="ListParagraph"/>
        <w:numPr>
          <w:ilvl w:val="0"/>
          <w:numId w:val="3"/>
        </w:numPr>
        <w:spacing w:after="70" w:line="280"/>
      </w:pPr>
      <w:r>
        <w:rPr>
          <w:rFonts w:ascii="Calibri" w:cs="Calibri" w:eastAsia="Calibri" w:hAnsi="Calibri"/>
          <w:color w:val="0E1A1C"/>
          <w:sz w:val="21"/>
          <w:szCs w:val="21"/>
        </w:rPr>
        <w:t xml:space="preserve">Met de applicatiearchitect gaat het over de bron van waarheid. Zijn criterium is functionaliteit, het jouwe is eigenaarschap en herkomst. Maak het criterium expliciet in plaats van over de uitkomst te discussiëren.</w:t>
      </w:r>
    </w:p>
    <w:p>
      <w:pPr>
        <w:pStyle w:val="ListParagraph"/>
        <w:numPr>
          <w:ilvl w:val="0"/>
          <w:numId w:val="3"/>
        </w:numPr>
        <w:spacing w:after="70" w:line="280"/>
      </w:pPr>
      <w:r>
        <w:rPr>
          <w:rFonts w:ascii="Calibri" w:cs="Calibri" w:eastAsia="Calibri" w:hAnsi="Calibri"/>
          <w:color w:val="0E1A1C"/>
          <w:sz w:val="21"/>
          <w:szCs w:val="21"/>
        </w:rPr>
        <w:t xml:space="preserve">Met de technologiearchitect gaat het over locatie en kosten. Bij een fusie met twee clouds is dat een reële vraag; jouw bijdrage is welke gegevens niet gescheiden mogen raken.</w:t>
      </w:r>
    </w:p>
    <w:p>
      <w:pPr>
        <w:pStyle w:val="ListParagraph"/>
        <w:numPr>
          <w:ilvl w:val="0"/>
          <w:numId w:val="3"/>
        </w:numPr>
        <w:spacing w:after="70" w:line="280"/>
      </w:pPr>
      <w:r>
        <w:rPr>
          <w:rFonts w:ascii="Calibri" w:cs="Calibri" w:eastAsia="Calibri" w:hAnsi="Calibri"/>
          <w:color w:val="0E1A1C"/>
          <w:sz w:val="21"/>
          <w:szCs w:val="21"/>
        </w:rPr>
        <w:t xml:space="preserve">Met de securityarchitect gaat het over classificatie. Hij classificeert per systeem, jij per datadomein. Die twee moeten op elkaar aansluiten, en dat gebeurt alleen als je het samen doet.</w:t>
      </w:r>
    </w:p>
    <w:p>
      <w:pPr>
        <w:pStyle w:val="ListParagraph"/>
        <w:numPr>
          <w:ilvl w:val="0"/>
          <w:numId w:val="3"/>
        </w:numPr>
        <w:spacing w:after="70" w:line="280"/>
      </w:pPr>
      <w:r>
        <w:rPr>
          <w:rFonts w:ascii="Calibri" w:cs="Calibri" w:eastAsia="Calibri" w:hAnsi="Calibri"/>
          <w:color w:val="0E1A1C"/>
          <w:sz w:val="21"/>
          <w:szCs w:val="21"/>
        </w:rPr>
        <w:t xml:space="preserve">Met de businessarchitect gaat het over capabilities. Dat gesprek is het makkelijkst en wordt het minst gevoerd, omdat data-architecten vaak vanuit systemen beginnen.</w:t>
      </w:r>
    </w:p>
    <w:p>
      <w:pPr>
        <w:pStyle w:val="Heading1"/>
        <w:spacing w:after="200" w:before="420"/>
      </w:pPr>
      <w:r>
        <w:rPr>
          <w:rFonts w:ascii="Cambria" w:cs="Cambria" w:eastAsia="Cambria" w:hAnsi="Cambria"/>
          <w:b/>
          <w:bCs/>
          <w:color w:val="1B4A48"/>
          <w:sz w:val="34"/>
          <w:szCs w:val="34"/>
        </w:rPr>
        <w:t xml:space="preserve">10. Vijf fouten op dit niveau</w:t>
      </w:r>
    </w:p>
    <w:p>
      <w:pPr>
        <w:pStyle w:val="ListParagraph"/>
        <w:numPr>
          <w:ilvl w:val="0"/>
          <w:numId w:val="5"/>
        </w:numPr>
        <w:spacing w:after="70" w:line="280"/>
      </w:pPr>
      <w:r>
        <w:rPr>
          <w:rFonts w:ascii="Calibri" w:cs="Calibri" w:eastAsia="Calibri" w:hAnsi="Calibri"/>
          <w:color w:val="0E1A1C"/>
          <w:sz w:val="21"/>
          <w:szCs w:val="21"/>
        </w:rPr>
        <w:t xml:space="preserve">Het landschap ontwerpen vanuit de systemen die er zijn in plaats van vanuit capabilities.</w:t>
      </w:r>
    </w:p>
    <w:p>
      <w:pPr>
        <w:pStyle w:val="ListParagraph"/>
        <w:numPr>
          <w:ilvl w:val="0"/>
          <w:numId w:val="5"/>
        </w:numPr>
        <w:spacing w:after="70" w:line="280"/>
      </w:pPr>
      <w:r>
        <w:rPr>
          <w:rFonts w:ascii="Calibri" w:cs="Calibri" w:eastAsia="Calibri" w:hAnsi="Calibri"/>
          <w:color w:val="0E1A1C"/>
          <w:sz w:val="21"/>
          <w:szCs w:val="21"/>
        </w:rPr>
        <w:t xml:space="preserve">Principes formuleren die niets uitsluiten.</w:t>
      </w:r>
    </w:p>
    <w:p>
      <w:pPr>
        <w:pStyle w:val="ListParagraph"/>
        <w:numPr>
          <w:ilvl w:val="0"/>
          <w:numId w:val="5"/>
        </w:numPr>
        <w:spacing w:after="70" w:line="280"/>
      </w:pPr>
      <w:r>
        <w:rPr>
          <w:rFonts w:ascii="Calibri" w:cs="Calibri" w:eastAsia="Calibri" w:hAnsi="Calibri"/>
          <w:color w:val="0E1A1C"/>
          <w:sz w:val="21"/>
          <w:szCs w:val="21"/>
        </w:rPr>
        <w:t xml:space="preserve">Architectuurbesluiten vastleggen zonder de afgevallen opties.</w:t>
      </w:r>
    </w:p>
    <w:p>
      <w:pPr>
        <w:pStyle w:val="ListParagraph"/>
        <w:numPr>
          <w:ilvl w:val="0"/>
          <w:numId w:val="5"/>
        </w:numPr>
        <w:spacing w:after="70" w:line="280"/>
      </w:pPr>
      <w:r>
        <w:rPr>
          <w:rFonts w:ascii="Calibri" w:cs="Calibri" w:eastAsia="Calibri" w:hAnsi="Calibri"/>
          <w:color w:val="0E1A1C"/>
          <w:sz w:val="21"/>
          <w:szCs w:val="21"/>
        </w:rPr>
        <w:t xml:space="preserve">Rationaliseren op techniek zonder de beheerkennis mee te wegen.</w:t>
      </w:r>
    </w:p>
    <w:p>
      <w:pPr>
        <w:pStyle w:val="ListParagraph"/>
        <w:numPr>
          <w:ilvl w:val="0"/>
          <w:numId w:val="5"/>
        </w:numPr>
        <w:spacing w:after="70" w:line="280"/>
      </w:pPr>
      <w:r>
        <w:rPr>
          <w:rFonts w:ascii="Calibri" w:cs="Calibri" w:eastAsia="Calibri" w:hAnsi="Calibri"/>
          <w:color w:val="0E1A1C"/>
          <w:sz w:val="21"/>
          <w:szCs w:val="21"/>
        </w:rPr>
        <w:t xml:space="preserve">Bij een fusie per systeem kiezen in plaats van per gegeven.</w:t>
      </w:r>
    </w:p>
    <w:p>
      <w:pPr>
        <w:pStyle w:val="Heading1"/>
        <w:spacing w:after="200" w:before="420"/>
      </w:pPr>
      <w:r>
        <w:rPr>
          <w:rFonts w:ascii="Cambria" w:cs="Cambria" w:eastAsia="Cambria" w:hAnsi="Cambria"/>
          <w:b/>
          <w:bCs/>
          <w:color w:val="1B4A48"/>
          <w:sz w:val="34"/>
          <w:szCs w:val="34"/>
        </w:rPr>
        <w:t xml:space="preserve">11. Examenrelevantie</w:t>
      </w:r>
    </w:p>
    <w:p>
      <w:pPr>
        <w:spacing w:after="140" w:line="288"/>
      </w:pPr>
      <w:r>
        <w:rPr>
          <w:rFonts w:ascii="Calibri" w:cs="Calibri" w:eastAsia="Calibri" w:hAnsi="Calibri"/>
          <w:color w:val="0E1A1C"/>
          <w:sz w:val="21"/>
          <w:szCs w:val="21"/>
        </w:rPr>
        <w:t xml:space="preserve">Dit deel raakt het kennisgebied Data Architecture, dat je op niveau 3 op de 80%-band moet beheersen. De terminologie volgt de DAMA-DMBOK2 Revised Edition; de architectuurbegrippen daarnaast zijn praktijkkennis en geen examenstof.</w:t>
      </w:r>
    </w:p>
    <w:p>
      <w:pPr>
        <w:pStyle w:val="Heading3"/>
        <w:spacing w:after="100" w:before="240"/>
      </w:pPr>
      <w:r>
        <w:rPr>
          <w:rFonts w:ascii="Calibri" w:cs="Calibri" w:eastAsia="Calibri" w:hAnsi="Calibri"/>
          <w:b/>
          <w:bCs/>
          <w:color w:val="3F7D74"/>
          <w:sz w:val="22"/>
          <w:szCs w:val="22"/>
        </w:rPr>
        <w:t xml:space="preserve">Aandachtspunten</w:t>
      </w:r>
    </w:p>
    <w:p>
      <w:pPr>
        <w:pStyle w:val="ListParagraph"/>
        <w:numPr>
          <w:ilvl w:val="0"/>
          <w:numId w:val="3"/>
        </w:numPr>
        <w:spacing w:after="70" w:line="280"/>
      </w:pPr>
      <w:r>
        <w:rPr>
          <w:rFonts w:ascii="Calibri" w:cs="Calibri" w:eastAsia="Calibri" w:hAnsi="Calibri"/>
          <w:color w:val="0E1A1C"/>
          <w:sz w:val="21"/>
          <w:szCs w:val="21"/>
        </w:rPr>
        <w:t xml:space="preserve">Het onderscheid tussen data-architectuur en datamodellering, en de rol van beide.</w:t>
      </w:r>
    </w:p>
    <w:p>
      <w:pPr>
        <w:pStyle w:val="ListParagraph"/>
        <w:numPr>
          <w:ilvl w:val="0"/>
          <w:numId w:val="3"/>
        </w:numPr>
        <w:spacing w:after="70" w:line="280"/>
      </w:pPr>
      <w:r>
        <w:rPr>
          <w:rFonts w:ascii="Calibri" w:cs="Calibri" w:eastAsia="Calibri" w:hAnsi="Calibri"/>
          <w:color w:val="0E1A1C"/>
          <w:sz w:val="21"/>
          <w:szCs w:val="21"/>
        </w:rPr>
        <w:t xml:space="preserve">De artefacten van data-architectuur: enterprise datamodel, domeinindeling, bron-van-waarheidoverzicht, datastroomlandschap, principes.</w:t>
      </w:r>
    </w:p>
    <w:p>
      <w:pPr>
        <w:pStyle w:val="ListParagraph"/>
        <w:numPr>
          <w:ilvl w:val="0"/>
          <w:numId w:val="3"/>
        </w:numPr>
        <w:spacing w:after="70" w:line="280"/>
      </w:pPr>
      <w:r>
        <w:rPr>
          <w:rFonts w:ascii="Calibri" w:cs="Calibri" w:eastAsia="Calibri" w:hAnsi="Calibri"/>
          <w:color w:val="0E1A1C"/>
          <w:sz w:val="21"/>
          <w:szCs w:val="21"/>
        </w:rPr>
        <w:t xml:space="preserve">De relatie tussen data-architectuur en de andere architectuurdisciplines.</w:t>
      </w:r>
    </w:p>
    <w:p>
      <w:pPr>
        <w:pStyle w:val="ListParagraph"/>
        <w:numPr>
          <w:ilvl w:val="0"/>
          <w:numId w:val="3"/>
        </w:numPr>
        <w:spacing w:after="70" w:line="280"/>
      </w:pPr>
      <w:r>
        <w:rPr>
          <w:rFonts w:ascii="Calibri" w:cs="Calibri" w:eastAsia="Calibri" w:hAnsi="Calibri"/>
          <w:color w:val="0E1A1C"/>
          <w:sz w:val="21"/>
          <w:szCs w:val="21"/>
        </w:rPr>
        <w:t xml:space="preserve">Architectuurprincipes en hun functie in besluitvorming.</w:t>
      </w:r>
    </w:p>
    <w:p>
      <w:pPr>
        <w:pStyle w:val="ListParagraph"/>
        <w:numPr>
          <w:ilvl w:val="0"/>
          <w:numId w:val="3"/>
        </w:numPr>
        <w:spacing w:after="70" w:line="280"/>
      </w:pPr>
      <w:r>
        <w:rPr>
          <w:rFonts w:ascii="Calibri" w:cs="Calibri" w:eastAsia="Calibri" w:hAnsi="Calibri"/>
          <w:color w:val="0E1A1C"/>
          <w:sz w:val="21"/>
          <w:szCs w:val="21"/>
        </w:rPr>
        <w:t xml:space="preserve">Engels: enterprise data model, data domain, system of record, architecture principle, architecture decision record, rationalisation.</w:t>
      </w:r>
    </w:p>
    <w:p>
      <w:pPr>
        <w:spacing w:after="1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Studiemateriaal bij dit deel</w:t>
            </w:r>
          </w:p>
          <w:p>
            <w:pPr>
              <w:spacing w:after="60" w:line="280"/>
            </w:pPr>
            <w:r>
              <w:rPr>
                <w:rFonts w:ascii="Calibri" w:cs="Calibri" w:eastAsia="Calibri" w:hAnsi="Calibri"/>
                <w:color w:val="0E1A1C"/>
                <w:sz w:val="20"/>
                <w:szCs w:val="20"/>
              </w:rPr>
              <w:t xml:space="preserve">Kernbron: het hoofdstuk over data architecture in de DAMA-DMBOK2 Revised Edition — tijdens het examen het enige toegestane hulpmiddel.</w:t>
            </w:r>
          </w:p>
          <w:p>
            <w:pPr>
              <w:spacing w:after="60" w:line="280"/>
            </w:pPr>
            <w:r>
              <w:rPr>
                <w:rFonts w:ascii="Calibri" w:cs="Calibri" w:eastAsia="Calibri" w:hAnsi="Calibri"/>
                <w:color w:val="0E1A1C"/>
                <w:sz w:val="20"/>
                <w:szCs w:val="20"/>
              </w:rPr>
              <w:t xml:space="preserve">Voor de architectuurkaders: de publicaties van The Open Group over TOGAF en van The Open Group over ArchiMate. Voor de Nederlandse overheidscontext: NORA.</w:t>
            </w:r>
          </w:p>
          <w:p>
            <w:pPr>
              <w:spacing w:after="60" w:line="280"/>
            </w:pPr>
            <w:r>
              <w:rPr>
                <w:rFonts w:ascii="Calibri" w:cs="Calibri" w:eastAsia="Calibri" w:hAnsi="Calibri"/>
                <w:color w:val="0E1A1C"/>
                <w:sz w:val="20"/>
                <w:szCs w:val="20"/>
              </w:rPr>
              <w:t xml:space="preserve">Examenopzet en de eisen voor Master: cdmp.info/exams en dama.org/certification.</w:t>
            </w:r>
          </w:p>
          <w:p>
            <w:pPr>
              <w:spacing w:after="60" w:line="280"/>
            </w:pPr>
            <w:r>
              <w:rPr>
                <w:rFonts w:ascii="Calibri" w:cs="Calibri" w:eastAsia="Calibri" w:hAnsi="Calibri"/>
                <w:color w:val="0E1A1C"/>
                <w:sz w:val="20"/>
                <w:szCs w:val="20"/>
              </w:rPr>
              <w:t xml:space="preserve">Dit materiaal reproduceert geen van deze bronnen en vervangt ze niet.</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22 — Enterprise data-architectuur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data-architectuur — Deelnemersreader</dc:title>
  <dc:creator>Ductus B.V.</dc:creator>
  <dc:description>Cursusmateriaal datamanagement, data-analyse en data governance</dc:description>
  <cp:lastModifiedBy>Un-named</cp:lastModifiedBy>
  <cp:revision>1</cp:revision>
  <dcterms:created xsi:type="dcterms:W3CDTF">2026-08-05T13:01:39.970Z</dcterms:created>
  <dcterms:modified xsi:type="dcterms:W3CDTF">2026-08-05T13:01:39.985Z</dcterms:modified>
</cp:coreProperties>
</file>

<file path=docProps/custom.xml><?xml version="1.0" encoding="utf-8"?>
<Properties xmlns="http://schemas.openxmlformats.org/officeDocument/2006/custom-properties" xmlns:vt="http://schemas.openxmlformats.org/officeDocument/2006/docPropsVTypes"/>
</file>