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3 · MEESTERSCHAP · DEEL 23</w:t>
      </w:r>
    </w:p>
    <w:p>
      <w:pPr>
        <w:spacing w:after="120"/>
      </w:pPr>
      <w:r>
        <w:rPr>
          <w:rFonts w:ascii="Cambria" w:cs="Cambria" w:eastAsia="Cambria" w:hAnsi="Cambria"/>
          <w:b/>
          <w:bCs/>
          <w:color w:val="0E1A1C"/>
          <w:sz w:val="56"/>
          <w:szCs w:val="56"/>
        </w:rPr>
        <w:t xml:space="preserve">Moderne dataplatformparadigma’s</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5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Drie leveranciersvoorstellen, FinOps-kostenoverzicht, domeinkaarten</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23 gelezen; deel 22 afgerond, met de principes, bron-van-waarheidkeuzes en migratiestrategieën uit die sessie beschikbaar.</w:t>
      </w:r>
    </w:p>
    <w:p>
      <w:pPr>
        <w:pStyle w:val="ListParagraph"/>
        <w:numPr>
          <w:ilvl w:val="0"/>
          <w:numId w:val="2"/>
        </w:numPr>
        <w:spacing w:after="70" w:line="280"/>
      </w:pPr>
      <w:r>
        <w:rPr>
          <w:rFonts w:ascii="Calibri" w:cs="Calibri" w:eastAsia="Calibri" w:hAnsi="Calibri"/>
          <w:color w:val="0E1A1C"/>
          <w:sz w:val="21"/>
          <w:szCs w:val="21"/>
        </w:rPr>
        <w:t xml:space="preserve">Opdracht 1 en 2 gemaakt, en een eigen leveranciersvoorstel meegenomen. Vraag daarnaar bij binnenkomst; het maakt opdracht 7 aanzienlijk scherper.</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Drie architectuurvoorstellen, elk vijf tot acht pagina’s: data mesh, data fabric, en uitbreiding van het lakehouse van Nautilus. Maak ze intern consistent en laat ze alle drie hetzelfde beloven. Het lakehouse-voorstel is het best geschreven en het slechtst passend — dat is de val.</w:t>
      </w:r>
    </w:p>
    <w:p>
      <w:pPr>
        <w:pStyle w:val="ListParagraph"/>
        <w:numPr>
          <w:ilvl w:val="0"/>
          <w:numId w:val="2"/>
        </w:numPr>
        <w:spacing w:after="70" w:line="280"/>
      </w:pPr>
      <w:r>
        <w:rPr>
          <w:rFonts w:ascii="Calibri" w:cs="Calibri" w:eastAsia="Calibri" w:hAnsi="Calibri"/>
          <w:color w:val="0E1A1C"/>
          <w:sz w:val="21"/>
          <w:szCs w:val="21"/>
        </w:rPr>
        <w:t xml:space="preserve">Een FinOps-kostenoverzicht over zes maanden, met alle vier de patronen erin verwerkt en één domein waarvan het verbruik zichtbaar scheefgroeit door een uurlijks ververst dashboard.</w:t>
      </w:r>
    </w:p>
    <w:p>
      <w:pPr>
        <w:pStyle w:val="ListParagraph"/>
        <w:numPr>
          <w:ilvl w:val="0"/>
          <w:numId w:val="2"/>
        </w:numPr>
        <w:spacing w:after="70" w:line="280"/>
      </w:pPr>
      <w:r>
        <w:rPr>
          <w:rFonts w:ascii="Calibri" w:cs="Calibri" w:eastAsia="Calibri" w:hAnsi="Calibri"/>
          <w:color w:val="0E1A1C"/>
          <w:sz w:val="21"/>
          <w:szCs w:val="21"/>
        </w:rPr>
        <w:t xml:space="preserve">Domeinkaarten met per domein de owner, zijn mandaat en zijn beschikbare uren — waarbij drie van de vijf domeinen de mandaattoets niet doorstaan.</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Deel 22 leverde de architectuurkeuzes; dit deel gaat over het platform waarop ze landen. Deel 25 volgt met de governance die dit moet volhouden — de federated computational governance uit opdracht 6 wordt daar volledig uitgewerkt. Voor DCAM raakt dit het technologiearchitectuurcomponent, dat in deel 24 wordt gescoord.</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0:00–0:20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drie voorstellen op tafel</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Laat de drie voorstellen zien zonder oordeel; het oordeel komt in opdracht 3</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0:20–0:40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Vier paradigma’s en hun voorwaarden</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mandaattoets uit opdracht 2 is het scharnierpunt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0:40–1:55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de drie voorstellen</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Vraag expliciet of het schrijfwerk het oordeel heeft gekleurd</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2:10–3:05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data contract</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Stuur op versionering en automatische toetsing</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3:05–3:55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FinOps</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scheefgroeiende domein is het aanknopingspunt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3:55–4:50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 federated governance</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Dwing af dat het niet-automatiseerbare deel wordt benoemd</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4:50–5:00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7 en de zelftoets uitzetten</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Paradigma’s herkennen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Het paradigma herkend ook waar de term niet valt — leveranciers gebruiken vaak eigen namen.</w:t>
      </w:r>
    </w:p>
    <w:p>
      <w:pPr>
        <w:pStyle w:val="ListParagraph"/>
        <w:numPr>
          <w:ilvl w:val="0"/>
          <w:numId w:val="2"/>
        </w:numPr>
        <w:spacing w:after="70" w:line="280"/>
      </w:pPr>
      <w:r>
        <w:rPr>
          <w:rFonts w:ascii="Calibri" w:cs="Calibri" w:eastAsia="Calibri" w:hAnsi="Calibri"/>
          <w:color w:val="0E1A1C"/>
          <w:sz w:val="21"/>
          <w:szCs w:val="21"/>
        </w:rPr>
        <w:t xml:space="preserve">De organisatorische voorwaarde benoemd én de constatering dat het voorstel hem niet noemt.</w:t>
      </w:r>
    </w:p>
    <w:p>
      <w:pPr>
        <w:pStyle w:val="ListParagraph"/>
        <w:numPr>
          <w:ilvl w:val="0"/>
          <w:numId w:val="2"/>
        </w:numPr>
        <w:spacing w:after="70" w:line="280"/>
      </w:pPr>
      <w:r>
        <w:rPr>
          <w:rFonts w:ascii="Calibri" w:cs="Calibri" w:eastAsia="Calibri" w:hAnsi="Calibri"/>
          <w:color w:val="0E1A1C"/>
          <w:sz w:val="21"/>
          <w:szCs w:val="21"/>
        </w:rPr>
        <w:t xml:space="preserve">Passages gemarkeerd waarin een technische oplossing wordt geboden voor een organisatorisch probleem.</w:t>
      </w:r>
    </w:p>
    <w:p>
      <w:pPr>
        <w:pStyle w:val="ListParagraph"/>
        <w:numPr>
          <w:ilvl w:val="0"/>
          <w:numId w:val="2"/>
        </w:numPr>
        <w:spacing w:after="70" w:line="280"/>
      </w:pPr>
      <w:r>
        <w:rPr>
          <w:rFonts w:ascii="Calibri" w:cs="Calibri" w:eastAsia="Calibri" w:hAnsi="Calibri"/>
          <w:color w:val="0E1A1C"/>
          <w:sz w:val="21"/>
          <w:szCs w:val="21"/>
        </w:rPr>
        <w:t xml:space="preserve">Een toetsvraag die de leverancier niet met een demo kan beantwoorden.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Het paradigma bepalen op grond van de gebruikte term. Kijk naar de principes eronder.</w:t>
      </w:r>
    </w:p>
    <w:p>
      <w:pPr>
        <w:pStyle w:val="ListParagraph"/>
        <w:numPr>
          <w:ilvl w:val="0"/>
          <w:numId w:val="2"/>
        </w:numPr>
        <w:spacing w:after="70" w:line="280"/>
      </w:pPr>
      <w:r>
        <w:rPr>
          <w:rFonts w:ascii="Calibri" w:cs="Calibri" w:eastAsia="Calibri" w:hAnsi="Calibri"/>
          <w:color w:val="0E1A1C"/>
          <w:sz w:val="21"/>
          <w:szCs w:val="21"/>
        </w:rPr>
        <w:t xml:space="preserve">Concluderen dat de leverancier oneerlijk is omdat de voorwaarde ontbreekt. Hij kan hem ook niet leveren.</w:t>
      </w:r>
    </w:p>
    <w:p>
      <w:pPr>
        <w:pStyle w:val="ListParagraph"/>
        <w:numPr>
          <w:ilvl w:val="0"/>
          <w:numId w:val="2"/>
        </w:numPr>
        <w:spacing w:after="70" w:line="280"/>
      </w:pPr>
      <w:r>
        <w:rPr>
          <w:rFonts w:ascii="Calibri" w:cs="Calibri" w:eastAsia="Calibri" w:hAnsi="Calibri"/>
          <w:color w:val="0E1A1C"/>
          <w:sz w:val="21"/>
          <w:szCs w:val="21"/>
        </w:rPr>
        <w:t xml:space="preserve">Een toetsvraag stellen die met een verwijzing naar een klantcase te beantwoorden is.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probleem lost dit voorstel op? En heeft de organisatie dat probleem?</w:t>
            </w:r>
          </w:p>
        </w:tc>
      </w:tr>
    </w:tbl>
    <w:p>
      <w:pPr>
        <w:pStyle w:val="Heading2"/>
        <w:spacing w:after="140" w:before="340"/>
      </w:pPr>
      <w:r>
        <w:rPr>
          <w:rFonts w:ascii="Cambria" w:cs="Cambria" w:eastAsia="Cambria" w:hAnsi="Cambria"/>
          <w:b/>
          <w:bCs/>
          <w:color w:val="0E1A1C"/>
          <w:sz w:val="26"/>
          <w:szCs w:val="26"/>
        </w:rPr>
        <w:t xml:space="preserve">Opdracht 2 — Domeinindeling</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Vijf tot zeven domeinen voor de gefuseerde organisatie.</w:t>
      </w:r>
    </w:p>
    <w:p>
      <w:pPr>
        <w:pStyle w:val="ListParagraph"/>
        <w:numPr>
          <w:ilvl w:val="0"/>
          <w:numId w:val="2"/>
        </w:numPr>
        <w:spacing w:after="70" w:line="280"/>
      </w:pPr>
      <w:r>
        <w:rPr>
          <w:rFonts w:ascii="Calibri" w:cs="Calibri" w:eastAsia="Calibri" w:hAnsi="Calibri"/>
          <w:color w:val="0E1A1C"/>
          <w:sz w:val="21"/>
          <w:szCs w:val="21"/>
        </w:rPr>
        <w:t xml:space="preserve">De mandaattoets toegepast, met de constatering dat drie van de vijf hem niet doorstaan.</w:t>
      </w:r>
    </w:p>
    <w:p>
      <w:pPr>
        <w:pStyle w:val="ListParagraph"/>
        <w:numPr>
          <w:ilvl w:val="0"/>
          <w:numId w:val="2"/>
        </w:numPr>
        <w:spacing w:after="70" w:line="280"/>
      </w:pPr>
      <w:r>
        <w:rPr>
          <w:rFonts w:ascii="Calibri" w:cs="Calibri" w:eastAsia="Calibri" w:hAnsi="Calibri"/>
          <w:color w:val="0E1A1C"/>
          <w:sz w:val="21"/>
          <w:szCs w:val="21"/>
        </w:rPr>
        <w:t xml:space="preserve">De weigertoets concreet beantwoord: kan een domein vandaag nee zeggen, en houdt dat stand?</w:t>
      </w:r>
    </w:p>
    <w:p>
      <w:pPr>
        <w:pStyle w:val="ListParagraph"/>
        <w:numPr>
          <w:ilvl w:val="0"/>
          <w:numId w:val="2"/>
        </w:numPr>
        <w:spacing w:after="70" w:line="280"/>
      </w:pPr>
      <w:r>
        <w:rPr>
          <w:rFonts w:ascii="Calibri" w:cs="Calibri" w:eastAsia="Calibri" w:hAnsi="Calibri"/>
          <w:color w:val="0E1A1C"/>
          <w:sz w:val="21"/>
          <w:szCs w:val="21"/>
        </w:rPr>
        <w:t xml:space="preserve">De conclusie dat het aantal domeinen data mesh niet rechtvaardigt, met onderbouwing.</w:t>
      </w:r>
    </w:p>
    <w:p>
      <w:pPr>
        <w:pStyle w:val="ListParagraph"/>
        <w:numPr>
          <w:ilvl w:val="0"/>
          <w:numId w:val="2"/>
        </w:numPr>
        <w:spacing w:after="70" w:line="280"/>
      </w:pPr>
      <w:r>
        <w:rPr>
          <w:rFonts w:ascii="Calibri" w:cs="Calibri" w:eastAsia="Calibri" w:hAnsi="Calibri"/>
          <w:color w:val="0E1A1C"/>
          <w:sz w:val="21"/>
          <w:szCs w:val="21"/>
        </w:rPr>
        <w:t xml:space="preserve">Drie zinnen die een CTO kan lezen.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Beoordelen op de aanwezigheid van een owner in plaats van op mandaat en capaciteit.</w:t>
      </w:r>
    </w:p>
    <w:p>
      <w:pPr>
        <w:pStyle w:val="ListParagraph"/>
        <w:numPr>
          <w:ilvl w:val="0"/>
          <w:numId w:val="2"/>
        </w:numPr>
        <w:spacing w:after="70" w:line="280"/>
      </w:pPr>
      <w:r>
        <w:rPr>
          <w:rFonts w:ascii="Calibri" w:cs="Calibri" w:eastAsia="Calibri" w:hAnsi="Calibri"/>
          <w:color w:val="0E1A1C"/>
          <w:sz w:val="21"/>
          <w:szCs w:val="21"/>
        </w:rPr>
        <w:t xml:space="preserve">Data mesh afwijzen zonder te benoemen welke elementen ervan wél bruikbaar zijn.</w:t>
      </w:r>
    </w:p>
    <w:p>
      <w:pPr>
        <w:pStyle w:val="ListParagraph"/>
        <w:numPr>
          <w:ilvl w:val="0"/>
          <w:numId w:val="2"/>
        </w:numPr>
        <w:spacing w:after="70" w:line="280"/>
      </w:pPr>
      <w:r>
        <w:rPr>
          <w:rFonts w:ascii="Calibri" w:cs="Calibri" w:eastAsia="Calibri" w:hAnsi="Calibri"/>
          <w:color w:val="0E1A1C"/>
          <w:sz w:val="21"/>
          <w:szCs w:val="21"/>
        </w:rPr>
        <w:t xml:space="preserve">De conclusie in tien zinnen. Drie is de oefening.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Kan het domein Deelnemer vandaag een levering weigeren? Wat gebeurt er dan?</w:t>
            </w:r>
          </w:p>
        </w:tc>
      </w:tr>
    </w:tbl>
    <w:p>
      <w:pPr>
        <w:pStyle w:val="Heading2"/>
        <w:spacing w:after="140" w:before="340"/>
      </w:pPr>
      <w:r>
        <w:rPr>
          <w:rFonts w:ascii="Cambria" w:cs="Cambria" w:eastAsia="Cambria" w:hAnsi="Cambria"/>
          <w:b/>
          <w:bCs/>
          <w:color w:val="0E1A1C"/>
          <w:sz w:val="26"/>
          <w:szCs w:val="26"/>
        </w:rPr>
        <w:t xml:space="preserve">Opdracht 3 — Drie voorstellen beoordelen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Per voorstel de beantwoorde vraag en de gestelde voorwaarde.</w:t>
      </w:r>
    </w:p>
    <w:p>
      <w:pPr>
        <w:pStyle w:val="ListParagraph"/>
        <w:numPr>
          <w:ilvl w:val="0"/>
          <w:numId w:val="2"/>
        </w:numPr>
        <w:spacing w:after="70" w:line="280"/>
      </w:pPr>
      <w:r>
        <w:rPr>
          <w:rFonts w:ascii="Calibri" w:cs="Calibri" w:eastAsia="Calibri" w:hAnsi="Calibri"/>
          <w:color w:val="0E1A1C"/>
          <w:sz w:val="21"/>
          <w:szCs w:val="21"/>
        </w:rPr>
        <w:t xml:space="preserve">De voorwaarden getoetst met bewijs uit deel 22, niet op gevoel.</w:t>
      </w:r>
    </w:p>
    <w:p>
      <w:pPr>
        <w:pStyle w:val="ListParagraph"/>
        <w:numPr>
          <w:ilvl w:val="0"/>
          <w:numId w:val="2"/>
        </w:numPr>
        <w:spacing w:after="70" w:line="280"/>
      </w:pPr>
      <w:r>
        <w:rPr>
          <w:rFonts w:ascii="Calibri" w:cs="Calibri" w:eastAsia="Calibri" w:hAnsi="Calibri"/>
          <w:color w:val="0E1A1C"/>
          <w:sz w:val="21"/>
          <w:szCs w:val="21"/>
        </w:rPr>
        <w:t xml:space="preserve">Ontbrekende posten gevonden: organisatorische kosten, coëxistentieperiode, beheerlast.</w:t>
      </w:r>
    </w:p>
    <w:p>
      <w:pPr>
        <w:pStyle w:val="ListParagraph"/>
        <w:numPr>
          <w:ilvl w:val="0"/>
          <w:numId w:val="2"/>
        </w:numPr>
        <w:spacing w:after="70" w:line="280"/>
      </w:pPr>
      <w:r>
        <w:rPr>
          <w:rFonts w:ascii="Calibri" w:cs="Calibri" w:eastAsia="Calibri" w:hAnsi="Calibri"/>
          <w:color w:val="0E1A1C"/>
          <w:sz w:val="21"/>
          <w:szCs w:val="21"/>
        </w:rPr>
        <w:t xml:space="preserve">Een tussenvorm overwogen — lakehouse met domeineigenaarschap en contracts is verdedigbaar.</w:t>
      </w:r>
    </w:p>
    <w:p>
      <w:pPr>
        <w:pStyle w:val="ListParagraph"/>
        <w:numPr>
          <w:ilvl w:val="0"/>
          <w:numId w:val="2"/>
        </w:numPr>
        <w:spacing w:after="70" w:line="280"/>
      </w:pPr>
      <w:r>
        <w:rPr>
          <w:rFonts w:ascii="Calibri" w:cs="Calibri" w:eastAsia="Calibri" w:hAnsi="Calibri"/>
          <w:color w:val="0E1A1C"/>
          <w:sz w:val="21"/>
          <w:szCs w:val="21"/>
        </w:rPr>
        <w:t xml:space="preserve">Expliciet benoemd of de schrijfkwaliteit het oordeel heeft gekleurd.</w:t>
      </w:r>
    </w:p>
    <w:p>
      <w:pPr>
        <w:pStyle w:val="ListParagraph"/>
        <w:numPr>
          <w:ilvl w:val="0"/>
          <w:numId w:val="2"/>
        </w:numPr>
        <w:spacing w:after="70" w:line="280"/>
      </w:pPr>
      <w:r>
        <w:rPr>
          <w:rFonts w:ascii="Calibri" w:cs="Calibri" w:eastAsia="Calibri" w:hAnsi="Calibri"/>
          <w:color w:val="0E1A1C"/>
          <w:sz w:val="21"/>
          <w:szCs w:val="21"/>
        </w:rPr>
        <w:t xml:space="preserve">Per voorstel de vraag die de leverancier liever niet beantwoordt.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Kiezen op het best geschreven voorstel. Dat is de val en ongeveer de helft trapt erin.</w:t>
      </w:r>
    </w:p>
    <w:p>
      <w:pPr>
        <w:pStyle w:val="ListParagraph"/>
        <w:numPr>
          <w:ilvl w:val="0"/>
          <w:numId w:val="2"/>
        </w:numPr>
        <w:spacing w:after="70" w:line="280"/>
      </w:pPr>
      <w:r>
        <w:rPr>
          <w:rFonts w:ascii="Calibri" w:cs="Calibri" w:eastAsia="Calibri" w:hAnsi="Calibri"/>
          <w:color w:val="0E1A1C"/>
          <w:sz w:val="21"/>
          <w:szCs w:val="21"/>
        </w:rPr>
        <w:t xml:space="preserve">De voorwaarden overnemen zoals de leverancier ze formuleert.</w:t>
      </w:r>
    </w:p>
    <w:p>
      <w:pPr>
        <w:pStyle w:val="ListParagraph"/>
        <w:numPr>
          <w:ilvl w:val="0"/>
          <w:numId w:val="2"/>
        </w:numPr>
        <w:spacing w:after="70" w:line="280"/>
      </w:pPr>
      <w:r>
        <w:rPr>
          <w:rFonts w:ascii="Calibri" w:cs="Calibri" w:eastAsia="Calibri" w:hAnsi="Calibri"/>
          <w:color w:val="0E1A1C"/>
          <w:sz w:val="21"/>
          <w:szCs w:val="21"/>
        </w:rPr>
        <w:t xml:space="preserve">Geen tussenvorm overwegen; paradigma’s sluiten elkaar niet uit.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voorstel is het best geschreven? En is dat het best passende?</w:t>
            </w:r>
          </w:p>
        </w:tc>
      </w:tr>
    </w:tbl>
    <w:p>
      <w:pPr>
        <w:pStyle w:val="Heading2"/>
        <w:spacing w:after="140" w:before="340"/>
      </w:pPr>
      <w:r>
        <w:rPr>
          <w:rFonts w:ascii="Cambria" w:cs="Cambria" w:eastAsia="Cambria" w:hAnsi="Cambria"/>
          <w:b/>
          <w:bCs/>
          <w:color w:val="0E1A1C"/>
          <w:sz w:val="26"/>
          <w:szCs w:val="26"/>
        </w:rPr>
        <w:t xml:space="preserve">Opdracht 4 — Data contract op domeinniveau</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elementen uit deel 15, aangevuld met versionering en automatische toetsing.</w:t>
      </w:r>
    </w:p>
    <w:p>
      <w:pPr>
        <w:pStyle w:val="ListParagraph"/>
        <w:numPr>
          <w:ilvl w:val="0"/>
          <w:numId w:val="2"/>
        </w:numPr>
        <w:spacing w:after="70" w:line="280"/>
      </w:pPr>
      <w:r>
        <w:rPr>
          <w:rFonts w:ascii="Calibri" w:cs="Calibri" w:eastAsia="Calibri" w:hAnsi="Calibri"/>
          <w:color w:val="0E1A1C"/>
          <w:sz w:val="21"/>
          <w:szCs w:val="21"/>
        </w:rPr>
        <w:t xml:space="preserve">Semantiek via verwijzing naar het begrippenkader in plaats van herhaalde definities.</w:t>
      </w:r>
    </w:p>
    <w:p>
      <w:pPr>
        <w:pStyle w:val="ListParagraph"/>
        <w:numPr>
          <w:ilvl w:val="0"/>
          <w:numId w:val="2"/>
        </w:numPr>
        <w:spacing w:after="70" w:line="280"/>
      </w:pPr>
      <w:r>
        <w:rPr>
          <w:rFonts w:ascii="Calibri" w:cs="Calibri" w:eastAsia="Calibri" w:hAnsi="Calibri"/>
          <w:color w:val="0E1A1C"/>
          <w:sz w:val="21"/>
          <w:szCs w:val="21"/>
        </w:rPr>
        <w:t xml:space="preserve">Een versioneringsperiode waarin twee versies naast elkaar bestaan, met een concrete termijn.</w:t>
      </w:r>
    </w:p>
    <w:p>
      <w:pPr>
        <w:pStyle w:val="ListParagraph"/>
        <w:numPr>
          <w:ilvl w:val="0"/>
          <w:numId w:val="2"/>
        </w:numPr>
        <w:spacing w:after="70" w:line="280"/>
      </w:pPr>
      <w:r>
        <w:rPr>
          <w:rFonts w:ascii="Calibri" w:cs="Calibri" w:eastAsia="Calibri" w:hAnsi="Calibri"/>
          <w:color w:val="0E1A1C"/>
          <w:sz w:val="21"/>
          <w:szCs w:val="21"/>
        </w:rPr>
        <w:t xml:space="preserve">Toetsing bij elke levering in plaats van een periodieke bespreking.</w:t>
      </w:r>
    </w:p>
    <w:p>
      <w:pPr>
        <w:pStyle w:val="ListParagraph"/>
        <w:numPr>
          <w:ilvl w:val="0"/>
          <w:numId w:val="2"/>
        </w:numPr>
        <w:spacing w:after="70" w:line="280"/>
      </w:pPr>
      <w:r>
        <w:rPr>
          <w:rFonts w:ascii="Calibri" w:cs="Calibri" w:eastAsia="Calibri" w:hAnsi="Calibri"/>
          <w:color w:val="0E1A1C"/>
          <w:sz w:val="21"/>
          <w:szCs w:val="21"/>
        </w:rPr>
        <w:t xml:space="preserve">Een contractregister als lineage op afspraakniveau.</w:t>
      </w:r>
    </w:p>
    <w:p>
      <w:pPr>
        <w:pStyle w:val="ListParagraph"/>
        <w:numPr>
          <w:ilvl w:val="0"/>
          <w:numId w:val="2"/>
        </w:numPr>
        <w:spacing w:after="70" w:line="280"/>
      </w:pPr>
      <w:r>
        <w:rPr>
          <w:rFonts w:ascii="Calibri" w:cs="Calibri" w:eastAsia="Calibri" w:hAnsi="Calibri"/>
          <w:color w:val="0E1A1C"/>
          <w:sz w:val="21"/>
          <w:szCs w:val="21"/>
        </w:rPr>
        <w:t xml:space="preserve">Escalatie die aansluit op deel 16, met dezelfde termijnen.</w:t>
      </w:r>
    </w:p>
    <w:p>
      <w:pPr>
        <w:pStyle w:val="ListParagraph"/>
        <w:numPr>
          <w:ilvl w:val="0"/>
          <w:numId w:val="2"/>
        </w:numPr>
        <w:spacing w:after="70" w:line="280"/>
      </w:pPr>
      <w:r>
        <w:rPr>
          <w:rFonts w:ascii="Calibri" w:cs="Calibri" w:eastAsia="Calibri" w:hAnsi="Calibri"/>
          <w:color w:val="0E1A1C"/>
          <w:sz w:val="21"/>
          <w:szCs w:val="21"/>
        </w:rPr>
        <w:t xml:space="preserve">Een antwoord op structureel niet halen dat verder gaat dan "we spreken erover".</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Het contract behandelen als administratie in plaats van als mechanisme.</w:t>
      </w:r>
    </w:p>
    <w:p>
      <w:pPr>
        <w:pStyle w:val="ListParagraph"/>
        <w:numPr>
          <w:ilvl w:val="0"/>
          <w:numId w:val="2"/>
        </w:numPr>
        <w:spacing w:after="70" w:line="280"/>
      </w:pPr>
      <w:r>
        <w:rPr>
          <w:rFonts w:ascii="Calibri" w:cs="Calibri" w:eastAsia="Calibri" w:hAnsi="Calibri"/>
          <w:color w:val="0E1A1C"/>
          <w:sz w:val="21"/>
          <w:szCs w:val="21"/>
        </w:rPr>
        <w:t xml:space="preserve">Versionering weglaten; dan breekt elke schemawijziging alsnog iets.</w:t>
      </w:r>
    </w:p>
    <w:p>
      <w:pPr>
        <w:pStyle w:val="ListParagraph"/>
        <w:numPr>
          <w:ilvl w:val="0"/>
          <w:numId w:val="2"/>
        </w:numPr>
        <w:spacing w:after="70" w:line="280"/>
      </w:pPr>
      <w:r>
        <w:rPr>
          <w:rFonts w:ascii="Calibri" w:cs="Calibri" w:eastAsia="Calibri" w:hAnsi="Calibri"/>
          <w:color w:val="0E1A1C"/>
          <w:sz w:val="21"/>
          <w:szCs w:val="21"/>
        </w:rPr>
        <w:t xml:space="preserve">Toetsing jaarlijks inplannen.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gebeurt er als het domein Deelnemer zijn contract drie kwartalen achtereen niet haalt?</w:t>
            </w:r>
          </w:p>
        </w:tc>
      </w:tr>
    </w:tbl>
    <w:p>
      <w:pPr>
        <w:pStyle w:val="Heading2"/>
        <w:spacing w:after="140" w:before="340"/>
      </w:pPr>
      <w:r>
        <w:rPr>
          <w:rFonts w:ascii="Cambria" w:cs="Cambria" w:eastAsia="Cambria" w:hAnsi="Cambria"/>
          <w:b/>
          <w:bCs/>
          <w:color w:val="0E1A1C"/>
          <w:sz w:val="26"/>
          <w:szCs w:val="26"/>
        </w:rPr>
        <w:t xml:space="preserve">Opdracht 5 — FinOps-analyse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vier de patronen gevonden en gekwantificeerd.</w:t>
      </w:r>
    </w:p>
    <w:p>
      <w:pPr>
        <w:pStyle w:val="ListParagraph"/>
        <w:numPr>
          <w:ilvl w:val="0"/>
          <w:numId w:val="2"/>
        </w:numPr>
        <w:spacing w:after="70" w:line="280"/>
      </w:pPr>
      <w:r>
        <w:rPr>
          <w:rFonts w:ascii="Calibri" w:cs="Calibri" w:eastAsia="Calibri" w:hAnsi="Calibri"/>
          <w:color w:val="0E1A1C"/>
          <w:sz w:val="21"/>
          <w:szCs w:val="21"/>
        </w:rPr>
        <w:t xml:space="preserve">Het scheefgroeiende domein herleid tot het uurlijks ververste dashboard.</w:t>
      </w:r>
    </w:p>
    <w:p>
      <w:pPr>
        <w:pStyle w:val="ListParagraph"/>
        <w:numPr>
          <w:ilvl w:val="0"/>
          <w:numId w:val="2"/>
        </w:numPr>
        <w:spacing w:after="70" w:line="280"/>
      </w:pPr>
      <w:r>
        <w:rPr>
          <w:rFonts w:ascii="Calibri" w:cs="Calibri" w:eastAsia="Calibri" w:hAnsi="Calibri"/>
          <w:color w:val="0E1A1C"/>
          <w:sz w:val="21"/>
          <w:szCs w:val="21"/>
        </w:rPr>
        <w:t xml:space="preserve">Onderscheid tussen maatregelen die gedrag veranderen en die alleen kosten verschuiven.</w:t>
      </w:r>
    </w:p>
    <w:p>
      <w:pPr>
        <w:pStyle w:val="ListParagraph"/>
        <w:numPr>
          <w:ilvl w:val="0"/>
          <w:numId w:val="2"/>
        </w:numPr>
        <w:spacing w:after="70" w:line="280"/>
      </w:pPr>
      <w:r>
        <w:rPr>
          <w:rFonts w:ascii="Calibri" w:cs="Calibri" w:eastAsia="Calibri" w:hAnsi="Calibri"/>
          <w:color w:val="0E1A1C"/>
          <w:sz w:val="21"/>
          <w:szCs w:val="21"/>
        </w:rPr>
        <w:t xml:space="preserve">Een verbruiksoverzicht met de vergelijking tussen domeinen erop.</w:t>
      </w:r>
    </w:p>
    <w:p>
      <w:pPr>
        <w:pStyle w:val="ListParagraph"/>
        <w:numPr>
          <w:ilvl w:val="0"/>
          <w:numId w:val="2"/>
        </w:numPr>
        <w:spacing w:after="70" w:line="280"/>
      </w:pPr>
      <w:r>
        <w:rPr>
          <w:rFonts w:ascii="Calibri" w:cs="Calibri" w:eastAsia="Calibri" w:hAnsi="Calibri"/>
          <w:color w:val="0E1A1C"/>
          <w:sz w:val="21"/>
          <w:szCs w:val="21"/>
        </w:rPr>
        <w:t xml:space="preserve">Een beargumenteerd oordeel dat echte doorbelasting tijdens een fusie onverstandig is.</w:t>
      </w:r>
    </w:p>
    <w:p>
      <w:pPr>
        <w:pStyle w:val="ListParagraph"/>
        <w:numPr>
          <w:ilvl w:val="0"/>
          <w:numId w:val="2"/>
        </w:numPr>
        <w:spacing w:after="70" w:line="280"/>
      </w:pPr>
      <w:r>
        <w:rPr>
          <w:rFonts w:ascii="Calibri" w:cs="Calibri" w:eastAsia="Calibri" w:hAnsi="Calibri"/>
          <w:color w:val="0E1A1C"/>
          <w:sz w:val="21"/>
          <w:szCs w:val="21"/>
        </w:rPr>
        <w:t xml:space="preserve">De coëxistentiekosten berekend en zichtbaar gemaakt.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Query’s verbieden. Dat werkt niet en levert schaduwgedrag op.</w:t>
      </w:r>
    </w:p>
    <w:p>
      <w:pPr>
        <w:pStyle w:val="ListParagraph"/>
        <w:numPr>
          <w:ilvl w:val="0"/>
          <w:numId w:val="2"/>
        </w:numPr>
        <w:spacing w:after="70" w:line="280"/>
      </w:pPr>
      <w:r>
        <w:rPr>
          <w:rFonts w:ascii="Calibri" w:cs="Calibri" w:eastAsia="Calibri" w:hAnsi="Calibri"/>
          <w:color w:val="0E1A1C"/>
          <w:sz w:val="21"/>
          <w:szCs w:val="21"/>
        </w:rPr>
        <w:t xml:space="preserve">Doorbelasting invoeren zonder de verrekenprijsdiscussie te benoemen.</w:t>
      </w:r>
    </w:p>
    <w:p>
      <w:pPr>
        <w:pStyle w:val="ListParagraph"/>
        <w:numPr>
          <w:ilvl w:val="0"/>
          <w:numId w:val="2"/>
        </w:numPr>
        <w:spacing w:after="70" w:line="280"/>
      </w:pPr>
      <w:r>
        <w:rPr>
          <w:rFonts w:ascii="Calibri" w:cs="Calibri" w:eastAsia="Calibri" w:hAnsi="Calibri"/>
          <w:color w:val="0E1A1C"/>
          <w:sz w:val="21"/>
          <w:szCs w:val="21"/>
        </w:rPr>
        <w:t xml:space="preserve">De coëxistentiekosten weglaten; dan wordt de tijdelijke situatie permanent.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maatregel verandert gedrag, en welke verschuift alleen de kosten naar een andere post?</w:t>
            </w:r>
          </w:p>
        </w:tc>
      </w:tr>
    </w:tbl>
    <w:p>
      <w:pPr>
        <w:pStyle w:val="Heading2"/>
        <w:spacing w:after="140" w:before="340"/>
      </w:pPr>
      <w:r>
        <w:rPr>
          <w:rFonts w:ascii="Cambria" w:cs="Cambria" w:eastAsia="Cambria" w:hAnsi="Cambria"/>
          <w:b/>
          <w:bCs/>
          <w:color w:val="0E1A1C"/>
          <w:sz w:val="26"/>
          <w:szCs w:val="26"/>
        </w:rPr>
        <w:t xml:space="preserve">Opdracht 6 — Federated computational governance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Per norm beoordeeld of hij in code is uit te drukken.</w:t>
      </w:r>
    </w:p>
    <w:p>
      <w:pPr>
        <w:pStyle w:val="ListParagraph"/>
        <w:numPr>
          <w:ilvl w:val="0"/>
          <w:numId w:val="2"/>
        </w:numPr>
        <w:spacing w:after="70" w:line="280"/>
      </w:pPr>
      <w:r>
        <w:rPr>
          <w:rFonts w:ascii="Calibri" w:cs="Calibri" w:eastAsia="Calibri" w:hAnsi="Calibri"/>
          <w:color w:val="0E1A1C"/>
          <w:sz w:val="21"/>
          <w:szCs w:val="21"/>
        </w:rPr>
        <w:t xml:space="preserve">Drie normen uitgewerkt met controle, moment en gevolg bij overtreding.</w:t>
      </w:r>
    </w:p>
    <w:p>
      <w:pPr>
        <w:pStyle w:val="ListParagraph"/>
        <w:numPr>
          <w:ilvl w:val="0"/>
          <w:numId w:val="2"/>
        </w:numPr>
        <w:spacing w:after="70" w:line="280"/>
      </w:pPr>
      <w:r>
        <w:rPr>
          <w:rFonts w:ascii="Calibri" w:cs="Calibri" w:eastAsia="Calibri" w:hAnsi="Calibri"/>
          <w:color w:val="0E1A1C"/>
          <w:sz w:val="21"/>
          <w:szCs w:val="21"/>
        </w:rPr>
        <w:t xml:space="preserve">De niet-automatiseerbare normen benoemd — vrijwel alles wat betekenis betreft.</w:t>
      </w:r>
    </w:p>
    <w:p>
      <w:pPr>
        <w:pStyle w:val="ListParagraph"/>
        <w:numPr>
          <w:ilvl w:val="0"/>
          <w:numId w:val="2"/>
        </w:numPr>
        <w:spacing w:after="70" w:line="280"/>
      </w:pPr>
      <w:r>
        <w:rPr>
          <w:rFonts w:ascii="Calibri" w:cs="Calibri" w:eastAsia="Calibri" w:hAnsi="Calibri"/>
          <w:color w:val="0E1A1C"/>
          <w:sz w:val="21"/>
          <w:szCs w:val="21"/>
        </w:rPr>
        <w:t xml:space="preserve">Een borgingsmechanisme voor dat deel, met menselijke beoordeling.</w:t>
      </w:r>
    </w:p>
    <w:p>
      <w:pPr>
        <w:pStyle w:val="ListParagraph"/>
        <w:numPr>
          <w:ilvl w:val="0"/>
          <w:numId w:val="2"/>
        </w:numPr>
        <w:spacing w:after="70" w:line="280"/>
      </w:pPr>
      <w:r>
        <w:rPr>
          <w:rFonts w:ascii="Calibri" w:cs="Calibri" w:eastAsia="Calibri" w:hAnsi="Calibri"/>
          <w:color w:val="0E1A1C"/>
          <w:sz w:val="21"/>
          <w:szCs w:val="21"/>
        </w:rPr>
        <w:t xml:space="preserve">Beheer en wijzigingsrecht van de geautomatiseerde normen belegd.</w:t>
      </w:r>
    </w:p>
    <w:p>
      <w:pPr>
        <w:pStyle w:val="ListParagraph"/>
        <w:numPr>
          <w:ilvl w:val="0"/>
          <w:numId w:val="2"/>
        </w:numPr>
        <w:spacing w:after="70" w:line="280"/>
      </w:pPr>
      <w:r>
        <w:rPr>
          <w:rFonts w:ascii="Calibri" w:cs="Calibri" w:eastAsia="Calibri" w:hAnsi="Calibri"/>
          <w:color w:val="0E1A1C"/>
          <w:sz w:val="21"/>
          <w:szCs w:val="21"/>
        </w:rPr>
        <w:t xml:space="preserve">Een eerlijk oordeel of dit model werkt bij governance op niveau 2.</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Alles automatiseerbaar verklaren. Vraag hoe je controleert of een definitie de júiste is.</w:t>
      </w:r>
    </w:p>
    <w:p>
      <w:pPr>
        <w:pStyle w:val="ListParagraph"/>
        <w:numPr>
          <w:ilvl w:val="0"/>
          <w:numId w:val="2"/>
        </w:numPr>
        <w:spacing w:after="70" w:line="280"/>
      </w:pPr>
      <w:r>
        <w:rPr>
          <w:rFonts w:ascii="Calibri" w:cs="Calibri" w:eastAsia="Calibri" w:hAnsi="Calibri"/>
          <w:color w:val="0E1A1C"/>
          <w:sz w:val="21"/>
          <w:szCs w:val="21"/>
        </w:rPr>
        <w:t xml:space="preserve">Het niet-automatiseerbare deel weglaten; dan is het ontwerp incompleet.</w:t>
      </w:r>
    </w:p>
    <w:p>
      <w:pPr>
        <w:pStyle w:val="ListParagraph"/>
        <w:numPr>
          <w:ilvl w:val="0"/>
          <w:numId w:val="2"/>
        </w:numPr>
        <w:spacing w:after="70" w:line="280"/>
      </w:pPr>
      <w:r>
        <w:rPr>
          <w:rFonts w:ascii="Calibri" w:cs="Calibri" w:eastAsia="Calibri" w:hAnsi="Calibri"/>
          <w:color w:val="0E1A1C"/>
          <w:sz w:val="21"/>
          <w:szCs w:val="21"/>
        </w:rPr>
        <w:t xml:space="preserve">Concluderen dat dit bij niveau 2 gewoon werkt.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Kun je automatisch controleren of een definitie klopt? Wat kun je wél controleren?</w:t>
            </w:r>
          </w:p>
        </w:tc>
      </w:tr>
    </w:tbl>
    <w:p>
      <w:pPr>
        <w:pStyle w:val="Heading2"/>
        <w:spacing w:after="140" w:before="340"/>
      </w:pPr>
      <w:r>
        <w:rPr>
          <w:rFonts w:ascii="Cambria" w:cs="Cambria" w:eastAsia="Cambria" w:hAnsi="Cambria"/>
          <w:b/>
          <w:bCs/>
          <w:color w:val="0E1A1C"/>
          <w:sz w:val="26"/>
          <w:szCs w:val="26"/>
        </w:rPr>
        <w:t xml:space="preserve">Opdracht 7 — Adviesnotitie aan de CTO</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Maximaal drie pagina’s.</w:t>
      </w:r>
    </w:p>
    <w:p>
      <w:pPr>
        <w:pStyle w:val="ListParagraph"/>
        <w:numPr>
          <w:ilvl w:val="0"/>
          <w:numId w:val="2"/>
        </w:numPr>
        <w:spacing w:after="70" w:line="280"/>
      </w:pPr>
      <w:r>
        <w:rPr>
          <w:rFonts w:ascii="Calibri" w:cs="Calibri" w:eastAsia="Calibri" w:hAnsi="Calibri"/>
          <w:color w:val="0E1A1C"/>
          <w:sz w:val="21"/>
          <w:szCs w:val="21"/>
        </w:rPr>
        <w:t xml:space="preserve">Per voorstel de vraag én de voorwaarde, met een getoetst oordeel.</w:t>
      </w:r>
    </w:p>
    <w:p>
      <w:pPr>
        <w:pStyle w:val="ListParagraph"/>
        <w:numPr>
          <w:ilvl w:val="0"/>
          <w:numId w:val="2"/>
        </w:numPr>
        <w:spacing w:after="70" w:line="280"/>
      </w:pPr>
      <w:r>
        <w:rPr>
          <w:rFonts w:ascii="Calibri" w:cs="Calibri" w:eastAsia="Calibri" w:hAnsi="Calibri"/>
          <w:color w:val="0E1A1C"/>
          <w:sz w:val="21"/>
          <w:szCs w:val="21"/>
        </w:rPr>
        <w:t xml:space="preserve">De ontbrekende kosten expliciet benoemd.</w:t>
      </w:r>
    </w:p>
    <w:p>
      <w:pPr>
        <w:pStyle w:val="ListParagraph"/>
        <w:numPr>
          <w:ilvl w:val="0"/>
          <w:numId w:val="2"/>
        </w:numPr>
        <w:spacing w:after="70" w:line="280"/>
      </w:pPr>
      <w:r>
        <w:rPr>
          <w:rFonts w:ascii="Calibri" w:cs="Calibri" w:eastAsia="Calibri" w:hAnsi="Calibri"/>
          <w:color w:val="0E1A1C"/>
          <w:sz w:val="21"/>
          <w:szCs w:val="21"/>
        </w:rPr>
        <w:t xml:space="preserve">Een advies met argumenten voor én tegen, of een verdedigde tussenvorm.</w:t>
      </w:r>
    </w:p>
    <w:p>
      <w:pPr>
        <w:pStyle w:val="ListParagraph"/>
        <w:numPr>
          <w:ilvl w:val="0"/>
          <w:numId w:val="2"/>
        </w:numPr>
        <w:spacing w:after="70" w:line="280"/>
      </w:pPr>
      <w:r>
        <w:rPr>
          <w:rFonts w:ascii="Calibri" w:cs="Calibri" w:eastAsia="Calibri" w:hAnsi="Calibri"/>
          <w:color w:val="0E1A1C"/>
          <w:sz w:val="21"/>
          <w:szCs w:val="21"/>
        </w:rPr>
        <w:t xml:space="preserve">De coëxistentieperiode met een eindmoment en een voorwaarde.</w:t>
      </w:r>
    </w:p>
    <w:p>
      <w:pPr>
        <w:pStyle w:val="ListParagraph"/>
        <w:numPr>
          <w:ilvl w:val="0"/>
          <w:numId w:val="2"/>
        </w:numPr>
        <w:spacing w:after="70" w:line="280"/>
      </w:pPr>
      <w:r>
        <w:rPr>
          <w:rFonts w:ascii="Calibri" w:cs="Calibri" w:eastAsia="Calibri" w:hAnsi="Calibri"/>
          <w:color w:val="0E1A1C"/>
          <w:sz w:val="21"/>
          <w:szCs w:val="21"/>
        </w:rPr>
        <w:t xml:space="preserve">Een gevraagd besluit met neescenario.</w:t>
      </w:r>
    </w:p>
    <w:p>
      <w:pPr>
        <w:pStyle w:val="ListParagraph"/>
        <w:numPr>
          <w:ilvl w:val="0"/>
          <w:numId w:val="2"/>
        </w:numPr>
        <w:spacing w:after="70" w:line="280"/>
      </w:pPr>
      <w:r>
        <w:rPr>
          <w:rFonts w:ascii="Calibri" w:cs="Calibri" w:eastAsia="Calibri" w:hAnsi="Calibri"/>
          <w:color w:val="0E1A1C"/>
          <w:sz w:val="21"/>
          <w:szCs w:val="21"/>
        </w:rPr>
        <w:t xml:space="preserve">Een eerlijke herbeoordeling van het eigen meegebrachte voorstel.</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Eén paradigma aanprijzen. Dat wordt gelezen als een voorkeur, niet als een oordeel.</w:t>
      </w:r>
    </w:p>
    <w:p>
      <w:pPr>
        <w:pStyle w:val="ListParagraph"/>
        <w:numPr>
          <w:ilvl w:val="0"/>
          <w:numId w:val="2"/>
        </w:numPr>
        <w:spacing w:after="70" w:line="280"/>
      </w:pPr>
      <w:r>
        <w:rPr>
          <w:rFonts w:ascii="Calibri" w:cs="Calibri" w:eastAsia="Calibri" w:hAnsi="Calibri"/>
          <w:color w:val="0E1A1C"/>
          <w:sz w:val="21"/>
          <w:szCs w:val="21"/>
        </w:rPr>
        <w:t xml:space="preserve">De coëxistentie onbenoemd laten; dat is de realistische uitkomst.</w:t>
      </w:r>
    </w:p>
    <w:p>
      <w:pPr>
        <w:pStyle w:val="ListParagraph"/>
        <w:numPr>
          <w:ilvl w:val="0"/>
          <w:numId w:val="2"/>
        </w:numPr>
        <w:spacing w:after="70" w:line="280"/>
      </w:pPr>
      <w:r>
        <w:rPr>
          <w:rFonts w:ascii="Calibri" w:cs="Calibri" w:eastAsia="Calibri" w:hAnsi="Calibri"/>
          <w:color w:val="0E1A1C"/>
          <w:sz w:val="21"/>
          <w:szCs w:val="21"/>
        </w:rPr>
        <w:t xml:space="preserve">De herbeoordeling van het eigen voorstel overslaan omdat het ongemakkelijk is.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zou je destijds aan die leverancier hebben gevraagd dat je toen niet vroeg?</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Welke twee data mesh-principes zijn organisatorisch in plaats van technisch?</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Domeineigenaarschap en data as a product</w:t>
      </w:r>
    </w:p>
    <w:p>
      <w:pPr>
        <w:spacing w:after="40" w:line="275"/>
        <w:ind w:left="420"/>
      </w:pPr>
      <w:r>
        <w:rPr>
          <w:rFonts w:ascii="Calibri" w:cs="Calibri" w:eastAsia="Calibri" w:hAnsi="Calibri"/>
          <w:color w:val="5F7375"/>
          <w:sz w:val="19"/>
          <w:szCs w:val="19"/>
        </w:rPr>
        <w:t xml:space="preserve">De eerste twee vragen mandaat en capaciteit; zonder die twee is data mesh een naamswijziging.</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Wat is de toets of er werkelijk domeineigenaarschap is?</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Of een domein een levering kan weigeren op kwaliteitsgronden, en dat standhoudt.</w:t>
      </w:r>
    </w:p>
    <w:p>
      <w:pPr>
        <w:spacing w:after="40" w:line="275"/>
        <w:ind w:left="420"/>
      </w:pPr>
      <w:r>
        <w:rPr>
          <w:rFonts w:ascii="Calibri" w:cs="Calibri" w:eastAsia="Calibri" w:hAnsi="Calibri"/>
          <w:color w:val="5F7375"/>
          <w:sz w:val="19"/>
          <w:szCs w:val="19"/>
        </w:rPr>
        <w:t xml:space="preserve">Is het antwoord nee, dan levert data mesh niets — en dat is een governancevraag die aan de platformkeuze voorafgaat.</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Wat is de zware voorwaarde van een data fabric?</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Kloppende en actuele metadata.</w:t>
      </w:r>
    </w:p>
    <w:p>
      <w:pPr>
        <w:spacing w:after="40" w:line="275"/>
        <w:ind w:left="420"/>
      </w:pPr>
      <w:r>
        <w:rPr>
          <w:rFonts w:ascii="Calibri" w:cs="Calibri" w:eastAsia="Calibri" w:hAnsi="Calibri"/>
          <w:color w:val="5F7375"/>
          <w:sz w:val="19"/>
          <w:szCs w:val="19"/>
        </w:rPr>
        <w:t xml:space="preserve">Een fabric op een landschap zonder werkend begrippenkader en zonder lineage is een dure laag met onbetrouwbare aanbevelingen.</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Wat maakt het verschil tussen een gelaagd lakehouse en een lake met extra stappen?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discipline dat je bij elk getal kunt terugredeneren naar de bron.</w:t>
      </w:r>
    </w:p>
    <w:p>
      <w:pPr>
        <w:spacing w:after="40" w:line="275"/>
        <w:ind w:left="420"/>
      </w:pPr>
      <w:r>
        <w:rPr>
          <w:rFonts w:ascii="Calibri" w:cs="Calibri" w:eastAsia="Calibri" w:hAnsi="Calibri"/>
          <w:color w:val="5F7375"/>
          <w:sz w:val="19"/>
          <w:szCs w:val="19"/>
        </w:rPr>
        <w:t xml:space="preserve">Zonder die discipline is het onderscheid tussen de lagen alleen een mappenstructuur.</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Wat is de sluipende fout in de gebruiksklare laag?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Per afnemer een eigen variant maken, waardoor de semantische laag wordt ondermijnd.</w:t>
      </w:r>
    </w:p>
    <w:p>
      <w:pPr>
        <w:spacing w:after="40" w:line="275"/>
        <w:ind w:left="420"/>
      </w:pPr>
      <w:r>
        <w:rPr>
          <w:rFonts w:ascii="Calibri" w:cs="Calibri" w:eastAsia="Calibri" w:hAnsi="Calibri"/>
          <w:color w:val="5F7375"/>
          <w:sz w:val="19"/>
          <w:szCs w:val="19"/>
        </w:rPr>
        <w:t xml:space="preserve">Na twee jaar zijn er zeven varianten van hetzelfde begrip — en is de organisatie terug bij drie afwijkende deelnemersaantallen.</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Wat is het verschil tussen event-driven en realtime?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Event-driven legt gebeurtenissen vast; of je die realtime verwerkt is een aparte vraag, en het antwoord is meestal nee.</w:t>
      </w:r>
    </w:p>
    <w:p>
      <w:pPr>
        <w:spacing w:after="40" w:line="275"/>
        <w:ind w:left="420"/>
      </w:pPr>
      <w:r>
        <w:rPr>
          <w:rFonts w:ascii="Calibri" w:cs="Calibri" w:eastAsia="Calibri" w:hAnsi="Calibri"/>
          <w:color w:val="5F7375"/>
          <w:sz w:val="19"/>
          <w:szCs w:val="19"/>
        </w:rPr>
        <w:t xml:space="preserve">Je kunt gebeurtenissen prima in batch verwerken. Die twee verwarren leidt tot dure architecturen zonder besluitwinst.</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Waarom is een gebeurtenislog waardevol voor een pensioenuitvoerder?</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Hij is per definitie bitemporeel: wat er gebeurde én wanneer het is vastgelegd.</w:t>
      </w:r>
    </w:p>
    <w:p>
      <w:pPr>
        <w:spacing w:after="40" w:line="275"/>
        <w:ind w:left="420"/>
      </w:pPr>
      <w:r>
        <w:rPr>
          <w:rFonts w:ascii="Calibri" w:cs="Calibri" w:eastAsia="Calibri" w:hAnsi="Calibri"/>
          <w:color w:val="5F7375"/>
          <w:sz w:val="19"/>
          <w:szCs w:val="19"/>
        </w:rPr>
        <w:t xml:space="preserve">Dat lost het reconstructieprobleem uit deel 12 structureel op.</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Wat is de architecturale functie van data contracts?</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Decentralisatie mogelijk maken zonder de samenhang te verliezen.</w:t>
      </w:r>
    </w:p>
    <w:p>
      <w:pPr>
        <w:spacing w:after="40" w:line="275"/>
        <w:ind w:left="420"/>
      </w:pPr>
      <w:r>
        <w:rPr>
          <w:rFonts w:ascii="Calibri" w:cs="Calibri" w:eastAsia="Calibri" w:hAnsi="Calibri"/>
          <w:color w:val="5F7375"/>
          <w:sz w:val="19"/>
          <w:szCs w:val="19"/>
        </w:rPr>
        <w:t xml:space="preserve">Data mesh zonder contracts is decentralisatie zonder rem; de domeinen drijven binnen twee jaar uit elkaar.</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Welke FinOps-maatregel verandert gedrag zonder dat er geld verschuift?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Een maandelijks verbruiksoverzicht per domein, met de vergelijking tussen domeinen erbij.</w:t>
      </w:r>
    </w:p>
    <w:p>
      <w:pPr>
        <w:spacing w:after="40" w:line="275"/>
        <w:ind w:left="420"/>
      </w:pPr>
      <w:r>
        <w:rPr>
          <w:rFonts w:ascii="Calibri" w:cs="Calibri" w:eastAsia="Calibri" w:hAnsi="Calibri"/>
          <w:color w:val="5F7375"/>
          <w:sz w:val="19"/>
          <w:szCs w:val="19"/>
        </w:rPr>
        <w:t xml:space="preserve">Niemand wil onderaan de lijst staan. Zichtbaarheid werkt voordat er één euro verschuift.</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Welke normen zijn zelden automatiseerbaar?</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Normen die betekenis betreffen — je kunt controleren dát er een definitie is, niet of hij juist is.</w:t>
      </w:r>
    </w:p>
    <w:p>
      <w:pPr>
        <w:spacing w:after="40" w:line="275"/>
        <w:ind w:left="420"/>
      </w:pPr>
      <w:r>
        <w:rPr>
          <w:rFonts w:ascii="Calibri" w:cs="Calibri" w:eastAsia="Calibri" w:hAnsi="Calibri"/>
          <w:color w:val="5F7375"/>
          <w:sz w:val="19"/>
          <w:szCs w:val="19"/>
        </w:rPr>
        <w:t xml:space="preserve">Dat blijft mensenwerk, en dat hoort expliciet in het ontwerp van federated computational governance te staan.</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Waarom is de mode het verkeerde argument bij een paradigmakeuze?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Elk paradigma is ontstaan bij een specifiek probleem; de vraag is of jouw organisatie dat probleem heeft.</w:t>
      </w:r>
    </w:p>
    <w:p>
      <w:pPr>
        <w:spacing w:after="40" w:line="275"/>
        <w:ind w:left="420"/>
      </w:pPr>
      <w:r>
        <w:rPr>
          <w:rFonts w:ascii="Calibri" w:cs="Calibri" w:eastAsia="Calibri" w:hAnsi="Calibri"/>
          <w:color w:val="5F7375"/>
          <w:sz w:val="19"/>
          <w:szCs w:val="19"/>
        </w:rPr>
        <w:t xml:space="preserve">Data mesh komt uit bedrijven met honderden domeinen. Meridiaan heeft er vijf — dat is een ander probleem.</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Wat is de realistische uitkomst van een platformkeuze bij een fusie?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Coëxistentie van twee platformen, met een afgesproken eindmoment en zichtbare dubbele kosten.</w:t>
      </w:r>
    </w:p>
    <w:p>
      <w:pPr>
        <w:spacing w:after="40" w:line="275"/>
        <w:ind w:left="420"/>
      </w:pPr>
      <w:r>
        <w:rPr>
          <w:rFonts w:ascii="Calibri" w:cs="Calibri" w:eastAsia="Calibri" w:hAnsi="Calibri"/>
          <w:color w:val="5F7375"/>
          <w:sz w:val="19"/>
          <w:szCs w:val="19"/>
        </w:rPr>
        <w:t xml:space="preserve">Zonder eindmoment en zonder zichtbare dubbele kosten wordt de tijdelijke situatie permanent.</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Is data mesh een architectuurparadigma of een organisatiemodel met een technische bijsluiter?</w:t>
      </w:r>
    </w:p>
    <w:p>
      <w:pPr>
        <w:pStyle w:val="ListParagraph"/>
        <w:numPr>
          <w:ilvl w:val="0"/>
          <w:numId w:val="3"/>
        </w:numPr>
        <w:spacing w:after="70" w:line="280"/>
      </w:pPr>
      <w:r>
        <w:rPr>
          <w:rFonts w:ascii="Calibri" w:cs="Calibri" w:eastAsia="Calibri" w:hAnsi="Calibri"/>
          <w:color w:val="0E1A1C"/>
          <w:sz w:val="21"/>
          <w:szCs w:val="21"/>
        </w:rPr>
        <w:t xml:space="preserve">Kan een organisatie op volwassenheidsniveau 2 een paradigma invoeren dat niveau 4 vooronderstelt?</w:t>
      </w:r>
    </w:p>
    <w:p>
      <w:pPr>
        <w:pStyle w:val="ListParagraph"/>
        <w:numPr>
          <w:ilvl w:val="0"/>
          <w:numId w:val="3"/>
        </w:numPr>
        <w:spacing w:after="70" w:line="280"/>
      </w:pPr>
      <w:r>
        <w:rPr>
          <w:rFonts w:ascii="Calibri" w:cs="Calibri" w:eastAsia="Calibri" w:hAnsi="Calibri"/>
          <w:color w:val="0E1A1C"/>
          <w:sz w:val="21"/>
          <w:szCs w:val="21"/>
        </w:rPr>
        <w:t xml:space="preserve">Wie zou de platformkeuze moeten maken: de CTO, de CDO of de domeinen samen?</w:t>
      </w:r>
    </w:p>
    <w:p>
      <w:pPr>
        <w:pStyle w:val="ListParagraph"/>
        <w:numPr>
          <w:ilvl w:val="0"/>
          <w:numId w:val="3"/>
        </w:numPr>
        <w:spacing w:after="70" w:line="280"/>
      </w:pPr>
      <w:r>
        <w:rPr>
          <w:rFonts w:ascii="Calibri" w:cs="Calibri" w:eastAsia="Calibri" w:hAnsi="Calibri"/>
          <w:color w:val="0E1A1C"/>
          <w:sz w:val="21"/>
          <w:szCs w:val="21"/>
        </w:rPr>
        <w:t xml:space="preserve">Is coëxistentie van twee platformen een tussenoplossing of een permanente uitkomst met een tijdelijke naam?</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bij opdracht 3 een vierde voorstel schrijven dat de tussenvorm bepleit, en dat door de groep beoordelen.</w:t>
      </w:r>
    </w:p>
    <w:p>
      <w:pPr>
        <w:pStyle w:val="ListParagraph"/>
        <w:numPr>
          <w:ilvl w:val="0"/>
          <w:numId w:val="2"/>
        </w:numPr>
        <w:spacing w:after="70" w:line="280"/>
      </w:pPr>
      <w:r>
        <w:rPr>
          <w:rFonts w:ascii="Calibri" w:cs="Calibri" w:eastAsia="Calibri" w:hAnsi="Calibri"/>
          <w:color w:val="0E1A1C"/>
          <w:sz w:val="21"/>
          <w:szCs w:val="21"/>
        </w:rPr>
        <w:t xml:space="preserve">Vraag om bij opdracht 6 een norm te automatiseren die op het eerste gezicht niet automatiseerbaar lijkt, en de grenzen te benoemen.</w:t>
      </w:r>
    </w:p>
    <w:p>
      <w:pPr>
        <w:pStyle w:val="ListParagraph"/>
        <w:numPr>
          <w:ilvl w:val="0"/>
          <w:numId w:val="2"/>
        </w:numPr>
        <w:spacing w:after="70" w:line="280"/>
      </w:pPr>
      <w:r>
        <w:rPr>
          <w:rFonts w:ascii="Calibri" w:cs="Calibri" w:eastAsia="Calibri" w:hAnsi="Calibri"/>
          <w:color w:val="0E1A1C"/>
          <w:sz w:val="21"/>
          <w:szCs w:val="21"/>
        </w:rPr>
        <w:t xml:space="preserve">Laat opdracht 5 uitbreiden met een prognose: wat kosten de patronen over drie jaar bij ongewijzigd gedrag?</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Beperk opdracht 3 tot twee voorstellen.</w:t>
      </w:r>
    </w:p>
    <w:p>
      <w:pPr>
        <w:pStyle w:val="ListParagraph"/>
        <w:numPr>
          <w:ilvl w:val="0"/>
          <w:numId w:val="2"/>
        </w:numPr>
        <w:spacing w:after="70" w:line="280"/>
      </w:pPr>
      <w:r>
        <w:rPr>
          <w:rFonts w:ascii="Calibri" w:cs="Calibri" w:eastAsia="Calibri" w:hAnsi="Calibri"/>
          <w:color w:val="0E1A1C"/>
          <w:sz w:val="21"/>
          <w:szCs w:val="21"/>
        </w:rPr>
        <w:t xml:space="preserve">Geef bij opdracht 4 het contractsjabloon uit deel 15 voor; de versionering en toetsing zijn dan de oefening.</w:t>
      </w:r>
    </w:p>
    <w:p>
      <w:pPr>
        <w:pStyle w:val="ListParagraph"/>
        <w:numPr>
          <w:ilvl w:val="0"/>
          <w:numId w:val="2"/>
        </w:numPr>
        <w:spacing w:after="70" w:line="280"/>
      </w:pPr>
      <w:r>
        <w:rPr>
          <w:rFonts w:ascii="Calibri" w:cs="Calibri" w:eastAsia="Calibri" w:hAnsi="Calibri"/>
          <w:color w:val="0E1A1C"/>
          <w:sz w:val="21"/>
          <w:szCs w:val="21"/>
        </w:rPr>
        <w:t xml:space="preserve">Laat opdracht 6 op één norm doen in plaats van drie.</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 paradigma is het beste?"</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Geen. Ze beantwoorden verschillende vragen. Het criterium is welk probleem jouw organisatie heeft, niet welke technologie het volwassenst is.</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"Kan data mesh op vijf domeinen?"</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Zelden zinvol. Data mesh lost een schaalprobleem op; met vijf domeinen en een werkend centraal platform bestaat dat probleem niet.</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 een lakehouse verplicht voor data mesh?"</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Data mesh is een organisatiemodel; de opslagtechnologie volgt eruit maar bepaalt hem niet.</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ik DP-600 halen?"</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Alleen als je in een Microsoft-landschap werkt en de certificering marktwaarde heeft in jouw rol. Let op de jaarlijkse verlenging.</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en geen lid-aanbieder van de EDM Association; dit is onafhankelijk voorbereidend materiaal.</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23 — Moderne dataplatformparadigma’s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Moderne dataplatformparadigma’s — Docentenhandleiding</dc:title>
  <dc:creator>Ductus B.V.</dc:creator>
  <dc:description>Cursusmateriaal datamanagement, data-analyse en data governance</dc:description>
  <cp:lastModifiedBy>Un-named</cp:lastModifiedBy>
  <cp:revision>1</cp:revision>
  <dcterms:created xsi:type="dcterms:W3CDTF">2026-08-05T13:01:41.034Z</dcterms:created>
  <dcterms:modified xsi:type="dcterms:W3CDTF">2026-08-05T13:01:41.034Z</dcterms:modified>
</cp:coreProperties>
</file>

<file path=docProps/custom.xml><?xml version="1.0" encoding="utf-8"?>
<Properties xmlns="http://schemas.openxmlformats.org/officeDocument/2006/custom-properties" xmlns:vt="http://schemas.openxmlformats.org/officeDocument/2006/docPropsVTypes"/>
</file>