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rFonts w:ascii="Consolas" w:cs="Consolas" w:eastAsia="Consolas" w:hAnsi="Consolas"/>
          <w:color w:val="3F7D74"/>
          <w:spacing w:val="60"/>
          <w:sz w:val="18"/>
          <w:szCs w:val="18"/>
        </w:rPr>
        <w:t xml:space="preserve">NIVEAU 3 · MEESTERSCHAP · DEEL 24</w:t>
      </w:r>
    </w:p>
    <w:p>
      <w:pPr>
        <w:spacing w:after="120"/>
      </w:pPr>
      <w:r>
        <w:rPr>
          <w:rFonts w:ascii="Cambria" w:cs="Cambria" w:eastAsia="Cambria" w:hAnsi="Cambria"/>
          <w:b/>
          <w:bCs/>
          <w:color w:val="0E1A1C"/>
          <w:sz w:val="56"/>
          <w:szCs w:val="56"/>
        </w:rPr>
        <w:t xml:space="preserve">DCAM v3 in de praktijk</w:t>
      </w:r>
    </w:p>
    <w:p>
      <w:pPr>
        <w:spacing w:after="300"/>
      </w:pPr>
      <w:r>
        <w:rPr>
          <w:rFonts w:ascii="Calibri" w:cs="Calibri" w:eastAsia="Calibri" w:hAnsi="Calibri"/>
          <w:color w:val="5F7375"/>
          <w:sz w:val="26"/>
          <w:szCs w:val="26"/>
        </w:rPr>
        <w:t xml:space="preserve">Docentenhandleiding</w:t>
      </w:r>
    </w:p>
    <w:p>
      <w:pPr>
        <w:spacing w:after="40"/>
      </w:pPr>
      <w:r>
        <w:rPr>
          <w:rFonts w:ascii="Consolas" w:cs="Consolas" w:eastAsia="Consolas" w:hAnsi="Consolas"/>
          <w:color w:val="5F7375"/>
          <w:sz w:val="17"/>
          <w:szCs w:val="17"/>
        </w:rPr>
        <w:t xml:space="preserve">KLASSIKAAL  </w:t>
      </w:r>
      <w:r>
        <w:rPr>
          <w:rFonts w:ascii="Calibri" w:cs="Calibri" w:eastAsia="Calibri" w:hAnsi="Calibri"/>
          <w:b/>
          <w:bCs/>
          <w:color w:val="0E1A1C"/>
          <w:sz w:val="20"/>
          <w:szCs w:val="20"/>
        </w:rPr>
        <w:t xml:space="preserve">6 uur</w:t>
      </w:r>
    </w:p>
    <w:p>
      <w:pPr>
        <w:spacing w:after="40"/>
      </w:pPr>
      <w:r>
        <w:rPr>
          <w:rFonts w:ascii="Consolas" w:cs="Consolas" w:eastAsia="Consolas" w:hAnsi="Consolas"/>
          <w:color w:val="5F7375"/>
          <w:sz w:val="17"/>
          <w:szCs w:val="17"/>
        </w:rPr>
        <w:t xml:space="preserve">GROEPSGROOTTE  </w:t>
      </w:r>
      <w:r>
        <w:rPr>
          <w:rFonts w:ascii="Calibri" w:cs="Calibri" w:eastAsia="Calibri" w:hAnsi="Calibri"/>
          <w:b/>
          <w:bCs/>
          <w:color w:val="0E1A1C"/>
          <w:sz w:val="20"/>
          <w:szCs w:val="20"/>
        </w:rPr>
        <w:t xml:space="preserve">8 tot 16 deelnemers</w:t>
      </w:r>
    </w:p>
    <w:p>
      <w:pPr>
        <w:spacing w:after="40"/>
      </w:pPr>
      <w:r>
        <w:rPr>
          <w:rFonts w:ascii="Consolas" w:cs="Consolas" w:eastAsia="Consolas" w:hAnsi="Consolas"/>
          <w:color w:val="5F7375"/>
          <w:sz w:val="17"/>
          <w:szCs w:val="17"/>
        </w:rPr>
        <w:t xml:space="preserve">BENODIGD  </w:t>
      </w:r>
      <w:r>
        <w:rPr>
          <w:rFonts w:ascii="Calibri" w:cs="Calibri" w:eastAsia="Calibri" w:hAnsi="Calibri"/>
          <w:b/>
          <w:bCs/>
          <w:color w:val="0E1A1C"/>
          <w:sz w:val="20"/>
          <w:szCs w:val="20"/>
        </w:rPr>
        <w:t xml:space="preserve">Scoringssjabloon, bewijsdossier op sub-capabilityniveau, kalibratieformulier</w:t>
      </w:r>
    </w:p>
    <w:p>
      <w:pPr>
        <w:spacing w:after="40"/>
      </w:pPr>
      <w:r>
        <w:rPr>
          <w:rFonts w:ascii="Consolas" w:cs="Consolas" w:eastAsia="Consolas" w:hAnsi="Consolas"/>
          <w:color w:val="5F7375"/>
          <w:sz w:val="17"/>
          <w:szCs w:val="17"/>
        </w:rPr>
        <w:t xml:space="preserve">VERSIE  </w:t>
      </w:r>
      <w:r>
        <w:rPr>
          <w:rFonts w:ascii="Calibri" w:cs="Calibri" w:eastAsia="Calibri" w:hAnsi="Calibri"/>
          <w:b/>
          <w:bCs/>
          <w:color w:val="0E1A1C"/>
          <w:sz w:val="20"/>
          <w:szCs w:val="20"/>
        </w:rPr>
        <w:t xml:space="preserve">Augustus 2026</w:t>
      </w:r>
    </w:p>
    <w:p>
      <w:pPr>
        <w:spacing w:after="30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Niet uitdelen aan deelnemers</w:t>
            </w:r>
          </w:p>
          <w:p>
            <w:pPr>
              <w:spacing w:after="60" w:line="280"/>
            </w:pPr>
            <w:r>
              <w:rPr>
                <w:rFonts w:ascii="Calibri" w:cs="Calibri" w:eastAsia="Calibri" w:hAnsi="Calibri"/>
                <w:color w:val="0E1A1C"/>
                <w:sz w:val="20"/>
                <w:szCs w:val="20"/>
              </w:rPr>
              <w:t xml:space="preserve">Deze handleiding bevat de modelantwoorden en de sleutel van de zelftoets.</w:t>
            </w:r>
          </w:p>
        </w:tc>
      </w:tr>
    </w:tbl>
    <w:p>
      <w:pPr>
        <w:spacing w:after="120"/>
      </w:pPr>
      <w:r>
        <w:t xml:space="preserve"/>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Voorbereiding, geen vervanging</w:t>
            </w:r>
          </w:p>
          <w:p>
            <w:pPr>
              <w:spacing w:after="60" w:line="280"/>
            </w:pPr>
            <w:r>
              <w:rPr>
                <w:rFonts w:ascii="Calibri" w:cs="Calibri" w:eastAsia="Calibri" w:hAnsi="Calibri"/>
                <w:color w:val="0E1A1C"/>
                <w:sz w:val="20"/>
                <w:szCs w:val="20"/>
              </w:rPr>
              <w:t xml:space="preserve">Deze cursusmap is onafhankelijk ontwikkeld door Ductus B.V. Ductus is niet gelieerd aan, geaccrediteerd door of goedgekeurd door DAMA International, IIBA, IAPP, de EDM Association of Microsoft.</w:t>
            </w:r>
          </w:p>
          <w:p>
            <w:pPr>
              <w:spacing w:after="60" w:line="280"/>
            </w:pPr>
            <w:r>
              <w:rPr>
                <w:rFonts w:ascii="Calibri" w:cs="Calibri" w:eastAsia="Calibri" w:hAnsi="Calibri"/>
                <w:color w:val="0E1A1C"/>
                <w:sz w:val="20"/>
                <w:szCs w:val="20"/>
              </w:rPr>
              <w:t xml:space="preserve">Dit materiaal bereidt voor op de genoemde examens en vervangt het officiële examenmateriaal niet. Bodies of knowledge, handboeken en examenblueprints worden hier niet gereproduceerd; deelnemers schaffen die bronnen zelf aan.</w:t>
            </w:r>
          </w:p>
          <w:p>
            <w:pPr>
              <w:spacing w:after="60" w:line="280"/>
            </w:pPr>
            <w:r>
              <w:rPr>
                <w:rFonts w:ascii="Calibri" w:cs="Calibri" w:eastAsia="Calibri" w:hAnsi="Calibri"/>
                <w:color w:val="0E1A1C"/>
                <w:sz w:val="20"/>
                <w:szCs w:val="20"/>
              </w:rPr>
              <w:t xml:space="preserve">Alle genoemde merken zijn eigendom van hun respectieve houders. Examengegevens gecontroleerd in augustus 2026 — verifieer vóór inschrijving bij de bron.</w:t>
            </w:r>
          </w:p>
        </w:tc>
      </w:tr>
    </w:tbl>
    <w:p>
      <w:r>
        <w:br w:type="page"/>
      </w:r>
    </w:p>
    <w:p>
      <w:pPr>
        <w:pStyle w:val="Heading1"/>
        <w:spacing w:after="200" w:before="420"/>
      </w:pPr>
      <w:r>
        <w:rPr>
          <w:rFonts w:ascii="Cambria" w:cs="Cambria" w:eastAsia="Cambria" w:hAnsi="Cambria"/>
          <w:b/>
          <w:bCs/>
          <w:color w:val="1B4A48"/>
          <w:sz w:val="34"/>
          <w:szCs w:val="34"/>
        </w:rPr>
        <w:t xml:space="preserve">1. Voorbereiding</w:t>
      </w:r>
    </w:p>
    <w:p>
      <w:pPr>
        <w:pStyle w:val="Heading3"/>
        <w:spacing w:after="100" w:before="240"/>
      </w:pPr>
      <w:r>
        <w:rPr>
          <w:rFonts w:ascii="Calibri" w:cs="Calibri" w:eastAsia="Calibri" w:hAnsi="Calibri"/>
          <w:b/>
          <w:bCs/>
          <w:color w:val="3F7D74"/>
          <w:sz w:val="22"/>
          <w:szCs w:val="22"/>
        </w:rPr>
        <w:t xml:space="preserve">Wat de deelnemers vooraf hebben gedaan</w:t>
      </w:r>
    </w:p>
    <w:p>
      <w:pPr>
        <w:pStyle w:val="ListParagraph"/>
        <w:numPr>
          <w:ilvl w:val="0"/>
          <w:numId w:val="2"/>
        </w:numPr>
        <w:spacing w:after="70" w:line="280"/>
      </w:pPr>
      <w:r>
        <w:rPr>
          <w:rFonts w:ascii="Calibri" w:cs="Calibri" w:eastAsia="Calibri" w:hAnsi="Calibri"/>
          <w:color w:val="0E1A1C"/>
          <w:sz w:val="21"/>
          <w:szCs w:val="21"/>
        </w:rPr>
        <w:t xml:space="preserve">Controleer vóór aanmelding dat élke deelnemer eigen toegang heeft tot het DCAM-framework via het Knowledge Portal. Zonder die toegang is dit deel niet uitvoerbaar en is deelname zinloos — communiceer dat bij inschrijving, niet bij binnenkomst.</w:t>
      </w:r>
    </w:p>
    <w:p>
      <w:pPr>
        <w:pStyle w:val="ListParagraph"/>
        <w:numPr>
          <w:ilvl w:val="0"/>
          <w:numId w:val="2"/>
        </w:numPr>
        <w:spacing w:after="70" w:line="280"/>
      </w:pPr>
      <w:r>
        <w:rPr>
          <w:rFonts w:ascii="Calibri" w:cs="Calibri" w:eastAsia="Calibri" w:hAnsi="Calibri"/>
          <w:color w:val="0E1A1C"/>
          <w:sz w:val="21"/>
          <w:szCs w:val="21"/>
        </w:rPr>
        <w:t xml:space="preserve">Reader deel 24 gelezen; deel 11, 22, 23 en 25 afgerond, met de assessmentbevindingen en het verzamelde bewijsmateriaal beschikbaar.</w:t>
      </w:r>
    </w:p>
    <w:p>
      <w:pPr>
        <w:pStyle w:val="ListParagraph"/>
        <w:numPr>
          <w:ilvl w:val="0"/>
          <w:numId w:val="2"/>
        </w:numPr>
        <w:spacing w:after="70" w:line="280"/>
      </w:pPr>
      <w:r>
        <w:rPr>
          <w:rFonts w:ascii="Calibri" w:cs="Calibri" w:eastAsia="Calibri" w:hAnsi="Calibri"/>
          <w:color w:val="0E1A1C"/>
          <w:sz w:val="21"/>
          <w:szCs w:val="21"/>
        </w:rPr>
        <w:t xml:space="preserve">Opdracht 1 en 2 gemaakt.</w:t>
      </w:r>
    </w:p>
    <w:p>
      <w:pPr>
        <w:pStyle w:val="Heading3"/>
        <w:spacing w:after="100" w:before="240"/>
      </w:pPr>
      <w:r>
        <w:rPr>
          <w:rFonts w:ascii="Calibri" w:cs="Calibri" w:eastAsia="Calibri" w:hAnsi="Calibri"/>
          <w:b/>
          <w:bCs/>
          <w:color w:val="3F7D74"/>
          <w:sz w:val="22"/>
          <w:szCs w:val="22"/>
        </w:rPr>
        <w:t xml:space="preserve">Wat jij klaarzet</w:t>
      </w:r>
    </w:p>
    <w:p>
      <w:pPr>
        <w:pStyle w:val="ListParagraph"/>
        <w:numPr>
          <w:ilvl w:val="0"/>
          <w:numId w:val="2"/>
        </w:numPr>
        <w:spacing w:after="70" w:line="280"/>
      </w:pPr>
      <w:r>
        <w:rPr>
          <w:rFonts w:ascii="Calibri" w:cs="Calibri" w:eastAsia="Calibri" w:hAnsi="Calibri"/>
          <w:color w:val="0E1A1C"/>
          <w:sz w:val="21"/>
          <w:szCs w:val="21"/>
        </w:rPr>
        <w:t xml:space="preserve">Een scoringssjabloon dat aansluit op de DCAM-schaal, zonder de criteriateksten te reproduceren — deelnemers lezen die in hun eigen portaal.</w:t>
      </w:r>
    </w:p>
    <w:p>
      <w:pPr>
        <w:pStyle w:val="ListParagraph"/>
        <w:numPr>
          <w:ilvl w:val="0"/>
          <w:numId w:val="2"/>
        </w:numPr>
        <w:spacing w:after="70" w:line="280"/>
      </w:pPr>
      <w:r>
        <w:rPr>
          <w:rFonts w:ascii="Calibri" w:cs="Calibri" w:eastAsia="Calibri" w:hAnsi="Calibri"/>
          <w:color w:val="0E1A1C"/>
          <w:sz w:val="21"/>
          <w:szCs w:val="21"/>
        </w:rPr>
        <w:t xml:space="preserve">Een bewijsdossier met acht artefacten uit de gefuseerde organisatie, waarvan er drie op het eerste gezicht breder bewijs lijken te leveren dan ze doen: de besluitrechtenmatrix, het begrippenkader met eigenaren, en het kwaliteitsdashboard.</w:t>
      </w:r>
    </w:p>
    <w:p>
      <w:pPr>
        <w:pStyle w:val="ListParagraph"/>
        <w:numPr>
          <w:ilvl w:val="0"/>
          <w:numId w:val="2"/>
        </w:numPr>
        <w:spacing w:after="70" w:line="280"/>
      </w:pPr>
      <w:r>
        <w:rPr>
          <w:rFonts w:ascii="Calibri" w:cs="Calibri" w:eastAsia="Calibri" w:hAnsi="Calibri"/>
          <w:color w:val="0E1A1C"/>
          <w:sz w:val="21"/>
          <w:szCs w:val="21"/>
        </w:rPr>
        <w:t xml:space="preserve">Een kalibratieformulier op sub-capabilityniveau, met ruimte voor het bewijsstuk per score.</w:t>
      </w:r>
    </w:p>
    <w:p>
      <w:pPr>
        <w:pStyle w:val="ListParagraph"/>
        <w:numPr>
          <w:ilvl w:val="0"/>
          <w:numId w:val="2"/>
        </w:numPr>
        <w:spacing w:after="70" w:line="280"/>
      </w:pPr>
      <w:r>
        <w:rPr>
          <w:rFonts w:ascii="Calibri" w:cs="Calibri" w:eastAsia="Calibri" w:hAnsi="Calibri"/>
          <w:color w:val="0E1A1C"/>
          <w:sz w:val="21"/>
          <w:szCs w:val="21"/>
        </w:rPr>
        <w:t xml:space="preserve">Een indeling in groepen van drie voor opdracht 5, met een overlap van minimaal twee sub-capabilities per component.</w:t>
      </w:r>
    </w:p>
    <w:p>
      <w:pPr>
        <w:pStyle w:val="Heading3"/>
        <w:spacing w:after="100" w:before="240"/>
      </w:pPr>
      <w:r>
        <w:rPr>
          <w:rFonts w:ascii="Calibri" w:cs="Calibri" w:eastAsia="Calibri" w:hAnsi="Calibri"/>
          <w:b/>
          <w:bCs/>
          <w:color w:val="3F7D74"/>
          <w:sz w:val="22"/>
          <w:szCs w:val="22"/>
        </w:rPr>
        <w:t xml:space="preserve">Waar dit deel vandaan komt en waar het heen gaat</w:t>
      </w:r>
    </w:p>
    <w:p>
      <w:pPr>
        <w:spacing w:after="140" w:line="288"/>
      </w:pPr>
      <w:r>
        <w:rPr>
          <w:rFonts w:ascii="Calibri" w:cs="Calibri" w:eastAsia="Calibri" w:hAnsi="Calibri"/>
          <w:color w:val="0E1A1C"/>
          <w:sz w:val="21"/>
          <w:szCs w:val="21"/>
        </w:rPr>
        <w:t xml:space="preserve">Deel 11 leerde assessen met een zelfgekozen schaal; dit deel doet het met een vaste. Het bouwt op alles wat in niveau 3 over de gefuseerde organisatie is verzameld — dat materiaal ís het bewijsdossier. De uitkomst voedt de masterproef van deel 29. Let op de auteursrechtelijke grens: het cursusmateriaal bevat geen frameworkinhoud en dat blijft zo.</w:t>
      </w:r>
    </w:p>
    <w:p>
      <w:pPr>
        <w:pStyle w:val="Heading2"/>
        <w:spacing w:after="140" w:before="340"/>
      </w:pPr>
      <w:r>
        <w:rPr>
          <w:rFonts w:ascii="Cambria" w:cs="Cambria" w:eastAsia="Cambria" w:hAnsi="Cambria"/>
          <w:b/>
          <w:bCs/>
          <w:color w:val="0E1A1C"/>
          <w:sz w:val="26"/>
          <w:szCs w:val="26"/>
        </w:rPr>
        <w:t xml:space="preserve">2. Dagindeling</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1500"/>
        <w:gridCol w:w="2600"/>
        <w:gridCol w:w="1500"/>
        <w:gridCol w:w="3420"/>
      </w:tblGrid>
      <w:tr>
        <w:trPr>
          <w:tblHeader/>
        </w:trPr>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Tijd</w:t>
            </w:r>
          </w:p>
        </w:tc>
        <w:tc>
          <w:tcPr>
            <w:tcW w:type="dxa" w:w="26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Onderdeel</w:t>
            </w:r>
          </w:p>
        </w:tc>
        <w:tc>
          <w:tcPr>
            <w:tcW w:type="dxa" w:w="15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Werkvorm</w:t>
            </w:r>
          </w:p>
        </w:tc>
        <w:tc>
          <w:tcPr>
            <w:tcW w:type="dxa" w:w="34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Let op</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0:00–0:20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Opening: vaste schaal, vaste criteria</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Benadruk het verschil met deel 11; dat verrast deelnemers</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0:20–0:45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Scope en respondenten, opdracht 1 en 2</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drie-wekenvraag als scopevraag is het inzicht</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0:45–2:15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3 — scoren</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Individueel</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Loop rond; grijp in zodra iemand op componentniveau scoort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pauze —</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2:30–3:30</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4 — bewijs</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De drie schijnbaar brede artefacten zijn het leermoment</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3:30–4:45</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5 — teamkalibratie</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Groepen van drie</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Begin bij de overlap; stuur op de vastlegging</w:t>
            </w:r>
          </w:p>
        </w:tc>
      </w:tr>
      <w:tr>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4:45–5:45</w:t>
            </w:r>
          </w:p>
        </w:tc>
        <w:tc>
          <w:tcPr>
            <w:tcW w:type="dxa" w:w="26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6 — roadmap</w:t>
            </w:r>
          </w:p>
        </w:tc>
        <w:tc>
          <w:tcPr>
            <w:tcW w:type="dxa" w:w="15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Tweetallen</w:t>
            </w:r>
          </w:p>
        </w:tc>
        <w:tc>
          <w:tcPr>
            <w:tcW w:type="dxa" w:w="34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Dwing de vergelijking met de laagste-scores-roadmap af</w:t>
            </w:r>
          </w:p>
        </w:tc>
      </w:tr>
      <w:tr>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5:45–6:00</w:t>
            </w:r>
          </w:p>
        </w:tc>
        <w:tc>
          <w:tcPr>
            <w:tcW w:type="dxa" w:w="26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Afsluiting</w:t>
            </w:r>
          </w:p>
        </w:tc>
        <w:tc>
          <w:tcPr>
            <w:tcW w:type="dxa" w:w="15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Plenair</w:t>
            </w:r>
          </w:p>
        </w:tc>
        <w:tc>
          <w:tcPr>
            <w:tcW w:type="dxa" w:w="34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Opdracht 7 uitzetten; examen ná het assessment plannen</w:t>
            </w:r>
          </w:p>
        </w:tc>
      </w:tr>
    </w:tbl>
    <w:p>
      <w:r>
        <w:br w:type="page"/>
      </w:r>
    </w:p>
    <w:p>
      <w:pPr>
        <w:pStyle w:val="Heading1"/>
        <w:spacing w:after="200" w:before="420"/>
      </w:pPr>
      <w:r>
        <w:rPr>
          <w:rFonts w:ascii="Cambria" w:cs="Cambria" w:eastAsia="Cambria" w:hAnsi="Cambria"/>
          <w:b/>
          <w:bCs/>
          <w:color w:val="1B4A48"/>
          <w:sz w:val="34"/>
          <w:szCs w:val="34"/>
        </w:rPr>
        <w:t xml:space="preserve">3. Modelantwoorden</w:t>
      </w:r>
    </w:p>
    <w:p>
      <w:pPr>
        <w:spacing w:after="140" w:line="288"/>
      </w:pPr>
      <w:r>
        <w:rPr>
          <w:rFonts w:ascii="Calibri" w:cs="Calibri" w:eastAsia="Calibri" w:hAnsi="Calibri"/>
          <w:color w:val="0E1A1C"/>
          <w:sz w:val="21"/>
          <w:szCs w:val="21"/>
        </w:rPr>
        <w:t xml:space="preserve">Er is per opdracht geen enkel juist antwoord. Beoordeel op consistentie en op expliciete aannames. Hieronder staat per opdracht wat een sterk antwoord bevat, waar het meestal misgaat, en welke vraag de nabespreking opent.</w:t>
      </w:r>
    </w:p>
    <w:p>
      <w:pPr>
        <w:pStyle w:val="Heading2"/>
        <w:spacing w:after="140" w:before="340"/>
      </w:pPr>
      <w:r>
        <w:rPr>
          <w:rFonts w:ascii="Cambria" w:cs="Cambria" w:eastAsia="Cambria" w:hAnsi="Cambria"/>
          <w:b/>
          <w:bCs/>
          <w:color w:val="0E1A1C"/>
          <w:sz w:val="26"/>
          <w:szCs w:val="26"/>
        </w:rPr>
        <w:t xml:space="preserve">Opdracht 1 — Scope bepalen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Componenten in scope met een verantwoording per uitsluiting.</w:t>
      </w:r>
    </w:p>
    <w:p>
      <w:pPr>
        <w:pStyle w:val="ListParagraph"/>
        <w:numPr>
          <w:ilvl w:val="0"/>
          <w:numId w:val="2"/>
        </w:numPr>
        <w:spacing w:after="70" w:line="280"/>
      </w:pPr>
      <w:r>
        <w:rPr>
          <w:rFonts w:ascii="Calibri" w:cs="Calibri" w:eastAsia="Calibri" w:hAnsi="Calibri"/>
          <w:color w:val="0E1A1C"/>
          <w:sz w:val="21"/>
          <w:szCs w:val="21"/>
        </w:rPr>
        <w:t xml:space="preserve">Een expliciete keuze tussen volledig en gesnoeid, met de gevolgen voor vergelijkbaarheid in één alinea.</w:t>
      </w:r>
    </w:p>
    <w:p>
      <w:pPr>
        <w:pStyle w:val="ListParagraph"/>
        <w:numPr>
          <w:ilvl w:val="0"/>
          <w:numId w:val="2"/>
        </w:numPr>
        <w:spacing w:after="70" w:line="280"/>
      </w:pPr>
      <w:r>
        <w:rPr>
          <w:rFonts w:ascii="Calibri" w:cs="Calibri" w:eastAsia="Calibri" w:hAnsi="Calibri"/>
          <w:color w:val="0E1A1C"/>
          <w:sz w:val="21"/>
          <w:szCs w:val="21"/>
        </w:rPr>
        <w:t xml:space="preserve">Een doorlooptijdschatting van tien tot vijftien weken, afgeleid uit de fasering.</w:t>
      </w:r>
    </w:p>
    <w:p>
      <w:pPr>
        <w:pStyle w:val="ListParagraph"/>
        <w:numPr>
          <w:ilvl w:val="0"/>
          <w:numId w:val="2"/>
        </w:numPr>
        <w:spacing w:after="70" w:line="280"/>
      </w:pPr>
      <w:r>
        <w:rPr>
          <w:rFonts w:ascii="Calibri" w:cs="Calibri" w:eastAsia="Calibri" w:hAnsi="Calibri"/>
          <w:color w:val="0E1A1C"/>
          <w:sz w:val="21"/>
          <w:szCs w:val="21"/>
        </w:rPr>
        <w:t xml:space="preserve">De drie-wekenvraag herkend als scopevraag en beantwoord met een scopevoorstel in plaats van een tempotoezegging.</w:t>
      </w:r>
    </w:p>
    <w:p>
      <w:pPr>
        <w:pStyle w:val="ListParagraph"/>
        <w:numPr>
          <w:ilvl w:val="0"/>
          <w:numId w:val="2"/>
        </w:numPr>
        <w:spacing w:after="70" w:line="280"/>
      </w:pPr>
      <w:r>
        <w:rPr>
          <w:rFonts w:ascii="Calibri" w:cs="Calibri" w:eastAsia="Calibri" w:hAnsi="Calibri"/>
          <w:color w:val="0E1A1C"/>
          <w:sz w:val="21"/>
          <w:szCs w:val="21"/>
        </w:rPr>
        <w:t xml:space="preserve">Een vastgelegde afspraak over de herhaalmeting, inclusief assessor.</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Alle acht componenten in scope zonder de doorlooptijd door te rekenen.</w:t>
      </w:r>
    </w:p>
    <w:p>
      <w:pPr>
        <w:pStyle w:val="ListParagraph"/>
        <w:numPr>
          <w:ilvl w:val="0"/>
          <w:numId w:val="2"/>
        </w:numPr>
        <w:spacing w:after="70" w:line="280"/>
      </w:pPr>
      <w:r>
        <w:rPr>
          <w:rFonts w:ascii="Calibri" w:cs="Calibri" w:eastAsia="Calibri" w:hAnsi="Calibri"/>
          <w:color w:val="0E1A1C"/>
          <w:sz w:val="21"/>
          <w:szCs w:val="21"/>
        </w:rPr>
        <w:t xml:space="preserve">De drie-wekenvraag beantwoorden met "dat wordt krap".</w:t>
      </w:r>
    </w:p>
    <w:p>
      <w:pPr>
        <w:pStyle w:val="ListParagraph"/>
        <w:numPr>
          <w:ilvl w:val="0"/>
          <w:numId w:val="2"/>
        </w:numPr>
        <w:spacing w:after="70" w:line="280"/>
      </w:pPr>
      <w:r>
        <w:rPr>
          <w:rFonts w:ascii="Calibri" w:cs="Calibri" w:eastAsia="Calibri" w:hAnsi="Calibri"/>
          <w:color w:val="0E1A1C"/>
          <w:sz w:val="21"/>
          <w:szCs w:val="21"/>
        </w:rPr>
        <w:t xml:space="preserve">De herhaalafspraak overslaan als voorbarig; het is de enige manier om over twee jaar iets te kunnen zeggen.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Wat zeg je tegen een opdrachtgever die drie weken heeft en vergelijkbaarheid wil?</w:t>
            </w:r>
          </w:p>
        </w:tc>
      </w:tr>
    </w:tbl>
    <w:p>
      <w:pPr>
        <w:pStyle w:val="Heading2"/>
        <w:spacing w:after="140" w:before="340"/>
      </w:pPr>
      <w:r>
        <w:rPr>
          <w:rFonts w:ascii="Cambria" w:cs="Cambria" w:eastAsia="Cambria" w:hAnsi="Cambria"/>
          <w:b/>
          <w:bCs/>
          <w:color w:val="0E1A1C"/>
          <w:sz w:val="26"/>
          <w:szCs w:val="26"/>
        </w:rPr>
        <w:t xml:space="preserve">Opdracht 2 — Respondentenplan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Per component minimaal drie respondenten, gekozen op rol en niet op beschikbaarheid.</w:t>
      </w:r>
    </w:p>
    <w:p>
      <w:pPr>
        <w:pStyle w:val="ListParagraph"/>
        <w:numPr>
          <w:ilvl w:val="0"/>
          <w:numId w:val="2"/>
        </w:numPr>
        <w:spacing w:after="70" w:line="280"/>
      </w:pPr>
      <w:r>
        <w:rPr>
          <w:rFonts w:ascii="Calibri" w:cs="Calibri" w:eastAsia="Calibri" w:hAnsi="Calibri"/>
          <w:color w:val="0E1A1C"/>
          <w:sz w:val="21"/>
          <w:szCs w:val="21"/>
        </w:rPr>
        <w:t xml:space="preserve">Per component een scepticus, met de reden waarom die op dit detailniveau extra oplevert.</w:t>
      </w:r>
    </w:p>
    <w:p>
      <w:pPr>
        <w:pStyle w:val="ListParagraph"/>
        <w:numPr>
          <w:ilvl w:val="0"/>
          <w:numId w:val="2"/>
        </w:numPr>
        <w:spacing w:after="70" w:line="280"/>
      </w:pPr>
      <w:r>
        <w:rPr>
          <w:rFonts w:ascii="Calibri" w:cs="Calibri" w:eastAsia="Calibri" w:hAnsi="Calibri"/>
          <w:color w:val="0E1A1C"/>
          <w:sz w:val="21"/>
          <w:szCs w:val="21"/>
        </w:rPr>
        <w:t xml:space="preserve">Een documentaanvraag die vóór de gesprekken uitgaat.</w:t>
      </w:r>
    </w:p>
    <w:p>
      <w:pPr>
        <w:pStyle w:val="ListParagraph"/>
        <w:numPr>
          <w:ilvl w:val="0"/>
          <w:numId w:val="2"/>
        </w:numPr>
        <w:spacing w:after="70" w:line="280"/>
      </w:pPr>
      <w:r>
        <w:rPr>
          <w:rFonts w:ascii="Calibri" w:cs="Calibri" w:eastAsia="Calibri" w:hAnsi="Calibri"/>
          <w:color w:val="0E1A1C"/>
          <w:sz w:val="21"/>
          <w:szCs w:val="21"/>
        </w:rPr>
        <w:t xml:space="preserve">Waarnemingen in systemen gepland, met toegang belegd.</w:t>
      </w:r>
    </w:p>
    <w:p>
      <w:pPr>
        <w:pStyle w:val="ListParagraph"/>
        <w:numPr>
          <w:ilvl w:val="0"/>
          <w:numId w:val="2"/>
        </w:numPr>
        <w:spacing w:after="70" w:line="280"/>
      </w:pPr>
      <w:r>
        <w:rPr>
          <w:rFonts w:ascii="Calibri" w:cs="Calibri" w:eastAsia="Calibri" w:hAnsi="Calibri"/>
          <w:color w:val="0E1A1C"/>
          <w:sz w:val="21"/>
          <w:szCs w:val="21"/>
        </w:rPr>
        <w:t xml:space="preserve">Een urenschatting die aansluit op de doorlooptijd uit opdracht 1.</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Respondenten kiezen op beschikbaarheid.</w:t>
      </w:r>
    </w:p>
    <w:p>
      <w:pPr>
        <w:pStyle w:val="ListParagraph"/>
        <w:numPr>
          <w:ilvl w:val="0"/>
          <w:numId w:val="2"/>
        </w:numPr>
        <w:spacing w:after="70" w:line="280"/>
      </w:pPr>
      <w:r>
        <w:rPr>
          <w:rFonts w:ascii="Calibri" w:cs="Calibri" w:eastAsia="Calibri" w:hAnsi="Calibri"/>
          <w:color w:val="0E1A1C"/>
          <w:sz w:val="21"/>
          <w:szCs w:val="21"/>
        </w:rPr>
        <w:t xml:space="preserve">Documenten pas tijdens het gesprek opvragen; dat kost een tweede ronde.</w:t>
      </w:r>
    </w:p>
    <w:p>
      <w:pPr>
        <w:pStyle w:val="ListParagraph"/>
        <w:numPr>
          <w:ilvl w:val="0"/>
          <w:numId w:val="2"/>
        </w:numPr>
        <w:spacing w:after="70" w:line="280"/>
      </w:pPr>
      <w:r>
        <w:rPr>
          <w:rFonts w:ascii="Calibri" w:cs="Calibri" w:eastAsia="Calibri" w:hAnsi="Calibri"/>
          <w:color w:val="0E1A1C"/>
          <w:sz w:val="21"/>
          <w:szCs w:val="21"/>
        </w:rPr>
        <w:t xml:space="preserve">De waarnemingen overslaan; zonder die is niveau 4 niet te onderbouwen.</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Wie in dit plan gaat je vertellen wat er niet werkt? En heb je die persoon echt uitgenodigd?</w:t>
            </w:r>
          </w:p>
        </w:tc>
      </w:tr>
    </w:tbl>
    <w:p>
      <w:pPr>
        <w:pStyle w:val="Heading2"/>
        <w:spacing w:after="140" w:before="340"/>
      </w:pPr>
      <w:r>
        <w:rPr>
          <w:rFonts w:ascii="Cambria" w:cs="Cambria" w:eastAsia="Cambria" w:hAnsi="Cambria"/>
          <w:b/>
          <w:bCs/>
          <w:color w:val="0E1A1C"/>
          <w:sz w:val="26"/>
          <w:szCs w:val="26"/>
        </w:rPr>
        <w:t xml:space="preserve">Opdracht 3 — Scoren op twee componenten</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Elke sub-capability afzonderlijk gescoord.</w:t>
      </w:r>
    </w:p>
    <w:p>
      <w:pPr>
        <w:pStyle w:val="ListParagraph"/>
        <w:numPr>
          <w:ilvl w:val="0"/>
          <w:numId w:val="2"/>
        </w:numPr>
        <w:spacing w:after="70" w:line="280"/>
      </w:pPr>
      <w:r>
        <w:rPr>
          <w:rFonts w:ascii="Calibri" w:cs="Calibri" w:eastAsia="Calibri" w:hAnsi="Calibri"/>
          <w:color w:val="0E1A1C"/>
          <w:sz w:val="21"/>
          <w:szCs w:val="21"/>
        </w:rPr>
        <w:t xml:space="preserve">Bewijsstuk en bewijsniveau bij elke score genoteerd.</w:t>
      </w:r>
    </w:p>
    <w:p>
      <w:pPr>
        <w:pStyle w:val="ListParagraph"/>
        <w:numPr>
          <w:ilvl w:val="0"/>
          <w:numId w:val="2"/>
        </w:numPr>
        <w:spacing w:after="70" w:line="280"/>
      </w:pPr>
      <w:r>
        <w:rPr>
          <w:rFonts w:ascii="Calibri" w:cs="Calibri" w:eastAsia="Calibri" w:hAnsi="Calibri"/>
          <w:color w:val="0E1A1C"/>
          <w:sz w:val="21"/>
          <w:szCs w:val="21"/>
        </w:rPr>
        <w:t xml:space="preserve">Sub-capabilities zonder bewijs als niet beoordeeld genoteerd in plaats van geschat.</w:t>
      </w:r>
    </w:p>
    <w:p>
      <w:pPr>
        <w:pStyle w:val="ListParagraph"/>
        <w:numPr>
          <w:ilvl w:val="0"/>
          <w:numId w:val="2"/>
        </w:numPr>
        <w:spacing w:after="70" w:line="280"/>
      </w:pPr>
      <w:r>
        <w:rPr>
          <w:rFonts w:ascii="Calibri" w:cs="Calibri" w:eastAsia="Calibri" w:hAnsi="Calibri"/>
          <w:color w:val="0E1A1C"/>
          <w:sz w:val="21"/>
          <w:szCs w:val="21"/>
        </w:rPr>
        <w:t xml:space="preserve">De middenneiging geteld en eerlijk beoordeeld.</w:t>
      </w:r>
    </w:p>
    <w:p>
      <w:pPr>
        <w:pStyle w:val="ListParagraph"/>
        <w:numPr>
          <w:ilvl w:val="0"/>
          <w:numId w:val="2"/>
        </w:numPr>
        <w:spacing w:after="70" w:line="280"/>
      </w:pPr>
      <w:r>
        <w:rPr>
          <w:rFonts w:ascii="Calibri" w:cs="Calibri" w:eastAsia="Calibri" w:hAnsi="Calibri"/>
          <w:color w:val="0E1A1C"/>
          <w:sz w:val="21"/>
          <w:szCs w:val="21"/>
        </w:rPr>
        <w:t xml:space="preserve">Een herziening waarbij scores zichtbaar zijn verschoven, doorgaans in beide richtingen.</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Sub-capabilities in groepjes scoren omdat ze samenhangen. Het aggregeren zit in de systematiek.</w:t>
      </w:r>
    </w:p>
    <w:p>
      <w:pPr>
        <w:pStyle w:val="ListParagraph"/>
        <w:numPr>
          <w:ilvl w:val="0"/>
          <w:numId w:val="2"/>
        </w:numPr>
        <w:spacing w:after="70" w:line="280"/>
      </w:pPr>
      <w:r>
        <w:rPr>
          <w:rFonts w:ascii="Calibri" w:cs="Calibri" w:eastAsia="Calibri" w:hAnsi="Calibri"/>
          <w:color w:val="0E1A1C"/>
          <w:sz w:val="21"/>
          <w:szCs w:val="21"/>
        </w:rPr>
        <w:t xml:space="preserve">Een score geven waar geen bewijs is. Niet beoordeeld is een geldige uitkomst.</w:t>
      </w:r>
    </w:p>
    <w:p>
      <w:pPr>
        <w:pStyle w:val="ListParagraph"/>
        <w:numPr>
          <w:ilvl w:val="0"/>
          <w:numId w:val="2"/>
        </w:numPr>
        <w:spacing w:after="70" w:line="280"/>
      </w:pPr>
      <w:r>
        <w:rPr>
          <w:rFonts w:ascii="Calibri" w:cs="Calibri" w:eastAsia="Calibri" w:hAnsi="Calibri"/>
          <w:color w:val="0E1A1C"/>
          <w:sz w:val="21"/>
          <w:szCs w:val="21"/>
        </w:rPr>
        <w:t xml:space="preserve">De middenneiging niet tellen; dan blijft hij onzichtbaar.</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Hoeveel middenscores had je? En hoeveel daarvan hielden stand na de bewijsvraag?</w:t>
            </w:r>
          </w:p>
        </w:tc>
      </w:tr>
    </w:tbl>
    <w:p>
      <w:pPr>
        <w:pStyle w:val="Heading2"/>
        <w:spacing w:after="140" w:before="340"/>
      </w:pPr>
      <w:r>
        <w:rPr>
          <w:rFonts w:ascii="Cambria" w:cs="Cambria" w:eastAsia="Cambria" w:hAnsi="Cambria"/>
          <w:b/>
          <w:bCs/>
          <w:color w:val="0E1A1C"/>
          <w:sz w:val="26"/>
          <w:szCs w:val="26"/>
        </w:rPr>
        <w:t xml:space="preserve">Opdracht 4 — Bewijs op detailniveau</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De drie schijnbaar brede artefacten herkend en teruggebracht tot wat ze werkelijk aantonen.</w:t>
      </w:r>
    </w:p>
    <w:p>
      <w:pPr>
        <w:pStyle w:val="ListParagraph"/>
        <w:numPr>
          <w:ilvl w:val="0"/>
          <w:numId w:val="2"/>
        </w:numPr>
        <w:spacing w:after="70" w:line="280"/>
      </w:pPr>
      <w:r>
        <w:rPr>
          <w:rFonts w:ascii="Calibri" w:cs="Calibri" w:eastAsia="Calibri" w:hAnsi="Calibri"/>
          <w:color w:val="0E1A1C"/>
          <w:sz w:val="21"/>
          <w:szCs w:val="21"/>
        </w:rPr>
        <w:t xml:space="preserve">Per artefact het aanvullende bewijs benoemd dat nodig zou zijn.</w:t>
      </w:r>
    </w:p>
    <w:p>
      <w:pPr>
        <w:pStyle w:val="ListParagraph"/>
        <w:numPr>
          <w:ilvl w:val="0"/>
          <w:numId w:val="2"/>
        </w:numPr>
        <w:spacing w:after="70" w:line="280"/>
      </w:pPr>
      <w:r>
        <w:rPr>
          <w:rFonts w:ascii="Calibri" w:cs="Calibri" w:eastAsia="Calibri" w:hAnsi="Calibri"/>
          <w:color w:val="0E1A1C"/>
          <w:sz w:val="21"/>
          <w:szCs w:val="21"/>
        </w:rPr>
        <w:t xml:space="preserve">Scores uit opdracht 3 herzien waar het bewijs te breed was toegepast.</w:t>
      </w:r>
    </w:p>
    <w:p>
      <w:pPr>
        <w:pStyle w:val="ListParagraph"/>
        <w:numPr>
          <w:ilvl w:val="0"/>
          <w:numId w:val="2"/>
        </w:numPr>
        <w:spacing w:after="70" w:line="280"/>
      </w:pPr>
      <w:r>
        <w:rPr>
          <w:rFonts w:ascii="Calibri" w:cs="Calibri" w:eastAsia="Calibri" w:hAnsi="Calibri"/>
          <w:color w:val="0E1A1C"/>
          <w:sz w:val="21"/>
          <w:szCs w:val="21"/>
        </w:rPr>
        <w:t xml:space="preserve">Een uitleg aan de respondent die het document waardeert en toch de conclusie draagt.</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besluitrechtenmatrix accepteren als bewijs voor toepassing. Vraag naar de laatste vijf besluiten.</w:t>
      </w:r>
    </w:p>
    <w:p>
      <w:pPr>
        <w:pStyle w:val="ListParagraph"/>
        <w:numPr>
          <w:ilvl w:val="0"/>
          <w:numId w:val="2"/>
        </w:numPr>
        <w:spacing w:after="70" w:line="280"/>
      </w:pPr>
      <w:r>
        <w:rPr>
          <w:rFonts w:ascii="Calibri" w:cs="Calibri" w:eastAsia="Calibri" w:hAnsi="Calibri"/>
          <w:color w:val="0E1A1C"/>
          <w:sz w:val="21"/>
          <w:szCs w:val="21"/>
        </w:rPr>
        <w:t xml:space="preserve">Herziening overslaan omdat de scores al af zijn.</w:t>
      </w:r>
    </w:p>
    <w:p>
      <w:pPr>
        <w:pStyle w:val="ListParagraph"/>
        <w:numPr>
          <w:ilvl w:val="0"/>
          <w:numId w:val="2"/>
        </w:numPr>
        <w:spacing w:after="70" w:line="280"/>
      </w:pPr>
      <w:r>
        <w:rPr>
          <w:rFonts w:ascii="Calibri" w:cs="Calibri" w:eastAsia="Calibri" w:hAnsi="Calibri"/>
          <w:color w:val="0E1A1C"/>
          <w:sz w:val="21"/>
          <w:szCs w:val="21"/>
        </w:rPr>
        <w:t xml:space="preserve">Aanvullend bewijs benoemen zonder te bepalen bij wie je het opvraagt.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Welk artefact heb je in opdracht 3 voor drie sub-capabilities gebruikt? Waarvoor telt het echt?</w:t>
            </w:r>
          </w:p>
        </w:tc>
      </w:tr>
    </w:tbl>
    <w:p>
      <w:pPr>
        <w:pStyle w:val="Heading2"/>
        <w:spacing w:after="140" w:before="340"/>
      </w:pPr>
      <w:r>
        <w:rPr>
          <w:rFonts w:ascii="Cambria" w:cs="Cambria" w:eastAsia="Cambria" w:hAnsi="Cambria"/>
          <w:b/>
          <w:bCs/>
          <w:color w:val="0E1A1C"/>
          <w:sz w:val="26"/>
          <w:szCs w:val="26"/>
        </w:rPr>
        <w:t xml:space="preserve">Opdracht 5 — Teamkalibratie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Begonnen bij de overlap, niet bij de volledige set.</w:t>
      </w:r>
    </w:p>
    <w:p>
      <w:pPr>
        <w:pStyle w:val="ListParagraph"/>
        <w:numPr>
          <w:ilvl w:val="0"/>
          <w:numId w:val="2"/>
        </w:numPr>
        <w:spacing w:after="70" w:line="280"/>
      </w:pPr>
      <w:r>
        <w:rPr>
          <w:rFonts w:ascii="Calibri" w:cs="Calibri" w:eastAsia="Calibri" w:hAnsi="Calibri"/>
          <w:color w:val="0E1A1C"/>
          <w:sz w:val="21"/>
          <w:szCs w:val="21"/>
        </w:rPr>
        <w:t xml:space="preserve">Een systematisch verschil benoemd, met richting.</w:t>
      </w:r>
    </w:p>
    <w:p>
      <w:pPr>
        <w:pStyle w:val="ListParagraph"/>
        <w:numPr>
          <w:ilvl w:val="0"/>
          <w:numId w:val="2"/>
        </w:numPr>
        <w:spacing w:after="70" w:line="280"/>
      </w:pPr>
      <w:r>
        <w:rPr>
          <w:rFonts w:ascii="Calibri" w:cs="Calibri" w:eastAsia="Calibri" w:hAnsi="Calibri"/>
          <w:color w:val="0E1A1C"/>
          <w:sz w:val="21"/>
          <w:szCs w:val="21"/>
        </w:rPr>
        <w:t xml:space="preserve">Verschillen herleid naar het bewijsstuk in plaats van naar interpretatie.</w:t>
      </w:r>
    </w:p>
    <w:p>
      <w:pPr>
        <w:pStyle w:val="ListParagraph"/>
        <w:numPr>
          <w:ilvl w:val="0"/>
          <w:numId w:val="2"/>
        </w:numPr>
        <w:spacing w:after="70" w:line="280"/>
      </w:pPr>
      <w:r>
        <w:rPr>
          <w:rFonts w:ascii="Calibri" w:cs="Calibri" w:eastAsia="Calibri" w:hAnsi="Calibri"/>
          <w:color w:val="0E1A1C"/>
          <w:sz w:val="21"/>
          <w:szCs w:val="21"/>
        </w:rPr>
        <w:t xml:space="preserve">Alle drie de systematische afwijkingen getoetst, inclusief de strengheid van de kenner.</w:t>
      </w:r>
    </w:p>
    <w:p>
      <w:pPr>
        <w:pStyle w:val="ListParagraph"/>
        <w:numPr>
          <w:ilvl w:val="0"/>
          <w:numId w:val="2"/>
        </w:numPr>
        <w:spacing w:after="70" w:line="280"/>
      </w:pPr>
      <w:r>
        <w:rPr>
          <w:rFonts w:ascii="Calibri" w:cs="Calibri" w:eastAsia="Calibri" w:hAnsi="Calibri"/>
          <w:color w:val="0E1A1C"/>
          <w:sz w:val="21"/>
          <w:szCs w:val="21"/>
        </w:rPr>
        <w:t xml:space="preserve">Een kalibratienotitie op sub-capabilityniveau.</w:t>
      </w:r>
    </w:p>
    <w:p>
      <w:pPr>
        <w:pStyle w:val="ListParagraph"/>
        <w:numPr>
          <w:ilvl w:val="0"/>
          <w:numId w:val="2"/>
        </w:numPr>
        <w:spacing w:after="70" w:line="280"/>
      </w:pPr>
      <w:r>
        <w:rPr>
          <w:rFonts w:ascii="Calibri" w:cs="Calibri" w:eastAsia="Calibri" w:hAnsi="Calibri"/>
          <w:color w:val="0E1A1C"/>
          <w:sz w:val="21"/>
          <w:szCs w:val="21"/>
        </w:rPr>
        <w:t xml:space="preserve">De bruikbaarheidstoets uitgevoerd: is dit over twee jaar leesbaar voor een buitenstaander?</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Kalibreren op componentniveau. Dan helpt de notitie bij de herhaalmeting niet.</w:t>
      </w:r>
    </w:p>
    <w:p>
      <w:pPr>
        <w:pStyle w:val="ListParagraph"/>
        <w:numPr>
          <w:ilvl w:val="0"/>
          <w:numId w:val="2"/>
        </w:numPr>
        <w:spacing w:after="70" w:line="280"/>
      </w:pPr>
      <w:r>
        <w:rPr>
          <w:rFonts w:ascii="Calibri" w:cs="Calibri" w:eastAsia="Calibri" w:hAnsi="Calibri"/>
          <w:color w:val="0E1A1C"/>
          <w:sz w:val="21"/>
          <w:szCs w:val="21"/>
        </w:rPr>
        <w:t xml:space="preserve">Verschillen wegpraten in plaats van herleiden.</w:t>
      </w:r>
    </w:p>
    <w:p>
      <w:pPr>
        <w:pStyle w:val="ListParagraph"/>
        <w:numPr>
          <w:ilvl w:val="0"/>
          <w:numId w:val="2"/>
        </w:numPr>
        <w:spacing w:after="70" w:line="280"/>
      </w:pPr>
      <w:r>
        <w:rPr>
          <w:rFonts w:ascii="Calibri" w:cs="Calibri" w:eastAsia="Calibri" w:hAnsi="Calibri"/>
          <w:color w:val="0E1A1C"/>
          <w:sz w:val="21"/>
          <w:szCs w:val="21"/>
        </w:rPr>
        <w:t xml:space="preserve">De notitie schrijven in afkortingen die alleen het team begrijpt.</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Geef je notitie aan iemand uit een andere groep. Begrijpt die waarom jullie zo hebben gescoord?</w:t>
            </w:r>
          </w:p>
        </w:tc>
      </w:tr>
    </w:tbl>
    <w:p>
      <w:pPr>
        <w:pStyle w:val="Heading2"/>
        <w:spacing w:after="140" w:before="340"/>
      </w:pPr>
      <w:r>
        <w:rPr>
          <w:rFonts w:ascii="Cambria" w:cs="Cambria" w:eastAsia="Cambria" w:hAnsi="Cambria"/>
          <w:b/>
          <w:bCs/>
          <w:color w:val="0E1A1C"/>
          <w:sz w:val="26"/>
          <w:szCs w:val="26"/>
        </w:rPr>
        <w:t xml:space="preserve">Opdracht 6 — Van score naar roadmap</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Per component een benodigd niveau, afgeleid van wat de organisatie moet kunnen.</w:t>
      </w:r>
    </w:p>
    <w:p>
      <w:pPr>
        <w:pStyle w:val="ListParagraph"/>
        <w:numPr>
          <w:ilvl w:val="0"/>
          <w:numId w:val="2"/>
        </w:numPr>
        <w:spacing w:after="70" w:line="280"/>
      </w:pPr>
      <w:r>
        <w:rPr>
          <w:rFonts w:ascii="Calibri" w:cs="Calibri" w:eastAsia="Calibri" w:hAnsi="Calibri"/>
          <w:color w:val="0E1A1C"/>
          <w:sz w:val="21"/>
          <w:szCs w:val="21"/>
        </w:rPr>
        <w:t xml:space="preserve">Een expliciete verantwoording waarom het maximum niet nodig is.</w:t>
      </w:r>
    </w:p>
    <w:p>
      <w:pPr>
        <w:pStyle w:val="ListParagraph"/>
        <w:numPr>
          <w:ilvl w:val="0"/>
          <w:numId w:val="2"/>
        </w:numPr>
        <w:spacing w:after="70" w:line="280"/>
      </w:pPr>
      <w:r>
        <w:rPr>
          <w:rFonts w:ascii="Calibri" w:cs="Calibri" w:eastAsia="Calibri" w:hAnsi="Calibri"/>
          <w:color w:val="0E1A1C"/>
          <w:sz w:val="21"/>
          <w:szCs w:val="21"/>
        </w:rPr>
        <w:t xml:space="preserve">Gatanalyse op componentniveau, niet per sub-capability.</w:t>
      </w:r>
    </w:p>
    <w:p>
      <w:pPr>
        <w:pStyle w:val="ListParagraph"/>
        <w:numPr>
          <w:ilvl w:val="0"/>
          <w:numId w:val="2"/>
        </w:numPr>
        <w:spacing w:after="70" w:line="280"/>
      </w:pPr>
      <w:r>
        <w:rPr>
          <w:rFonts w:ascii="Calibri" w:cs="Calibri" w:eastAsia="Calibri" w:hAnsi="Calibri"/>
          <w:color w:val="0E1A1C"/>
          <w:sz w:val="21"/>
          <w:szCs w:val="21"/>
        </w:rPr>
        <w:t xml:space="preserve">Afhankelijkheden in kaart, met eigenaarschap als voorwaarde zoals in deel 19.</w:t>
      </w:r>
    </w:p>
    <w:p>
      <w:pPr>
        <w:pStyle w:val="ListParagraph"/>
        <w:numPr>
          <w:ilvl w:val="0"/>
          <w:numId w:val="2"/>
        </w:numPr>
        <w:spacing w:after="70" w:line="280"/>
      </w:pPr>
      <w:r>
        <w:rPr>
          <w:rFonts w:ascii="Calibri" w:cs="Calibri" w:eastAsia="Calibri" w:hAnsi="Calibri"/>
          <w:color w:val="0E1A1C"/>
          <w:sz w:val="21"/>
          <w:szCs w:val="21"/>
        </w:rPr>
        <w:t xml:space="preserve">De vergelijking met de laagste-scores-roadmap gemaakt, met benoemde verschillen.</w:t>
      </w:r>
    </w:p>
    <w:p>
      <w:pPr>
        <w:pStyle w:val="ListParagraph"/>
        <w:numPr>
          <w:ilvl w:val="0"/>
          <w:numId w:val="2"/>
        </w:numPr>
        <w:spacing w:after="70" w:line="280"/>
      </w:pPr>
      <w:r>
        <w:rPr>
          <w:rFonts w:ascii="Calibri" w:cs="Calibri" w:eastAsia="Calibri" w:hAnsi="Calibri"/>
          <w:color w:val="0E1A1C"/>
          <w:sz w:val="21"/>
          <w:szCs w:val="21"/>
        </w:rPr>
        <w:t xml:space="preserve">Drie scenario’s met kosten en doorlooptijd.</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Overal het maximum als ambitie. Vraag wat dat kost en of het nodig is.</w:t>
      </w:r>
    </w:p>
    <w:p>
      <w:pPr>
        <w:pStyle w:val="ListParagraph"/>
        <w:numPr>
          <w:ilvl w:val="0"/>
          <w:numId w:val="2"/>
        </w:numPr>
        <w:spacing w:after="70" w:line="280"/>
      </w:pPr>
      <w:r>
        <w:rPr>
          <w:rFonts w:ascii="Calibri" w:cs="Calibri" w:eastAsia="Calibri" w:hAnsi="Calibri"/>
          <w:color w:val="0E1A1C"/>
          <w:sz w:val="21"/>
          <w:szCs w:val="21"/>
        </w:rPr>
        <w:t xml:space="preserve">De laagste scores als agenda nemen.</w:t>
      </w:r>
    </w:p>
    <w:p>
      <w:pPr>
        <w:pStyle w:val="ListParagraph"/>
        <w:numPr>
          <w:ilvl w:val="0"/>
          <w:numId w:val="2"/>
        </w:numPr>
        <w:spacing w:after="70" w:line="280"/>
      </w:pPr>
      <w:r>
        <w:rPr>
          <w:rFonts w:ascii="Calibri" w:cs="Calibri" w:eastAsia="Calibri" w:hAnsi="Calibri"/>
          <w:color w:val="0E1A1C"/>
          <w:sz w:val="21"/>
          <w:szCs w:val="21"/>
        </w:rPr>
        <w:t xml:space="preserve">De vergelijking overslaan; als beide roadmaps gelijk zijn, is het benodigde niveau niet echt bepaald.</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Verschilt jouw roadmap van de laagste-scores-roadmap? Zo nee, heb je het benodigde niveau dan echt bepaald?</w:t>
            </w:r>
          </w:p>
        </w:tc>
      </w:tr>
    </w:tbl>
    <w:p>
      <w:pPr>
        <w:pStyle w:val="Heading2"/>
        <w:spacing w:after="140" w:before="340"/>
      </w:pPr>
      <w:r>
        <w:rPr>
          <w:rFonts w:ascii="Cambria" w:cs="Cambria" w:eastAsia="Cambria" w:hAnsi="Cambria"/>
          <w:b/>
          <w:bCs/>
          <w:color w:val="0E1A1C"/>
          <w:sz w:val="26"/>
          <w:szCs w:val="26"/>
        </w:rPr>
        <w:t xml:space="preserve">Opdracht 7 — De assessmentrapportage</w:t>
      </w:r>
    </w:p>
    <w:p>
      <w:pPr>
        <w:pStyle w:val="Heading3"/>
        <w:spacing w:after="100" w:before="240"/>
      </w:pPr>
      <w:r>
        <w:rPr>
          <w:rFonts w:ascii="Calibri" w:cs="Calibri" w:eastAsia="Calibri" w:hAnsi="Calibri"/>
          <w:b/>
          <w:bCs/>
          <w:color w:val="3F7D74"/>
          <w:sz w:val="22"/>
          <w:szCs w:val="22"/>
        </w:rPr>
        <w:t xml:space="preserve">Een sterk antwoord bevat</w:t>
      </w:r>
    </w:p>
    <w:p>
      <w:pPr>
        <w:pStyle w:val="ListParagraph"/>
        <w:numPr>
          <w:ilvl w:val="0"/>
          <w:numId w:val="2"/>
        </w:numPr>
        <w:spacing w:after="70" w:line="280"/>
      </w:pPr>
      <w:r>
        <w:rPr>
          <w:rFonts w:ascii="Calibri" w:cs="Calibri" w:eastAsia="Calibri" w:hAnsi="Calibri"/>
          <w:color w:val="0E1A1C"/>
          <w:sz w:val="21"/>
          <w:szCs w:val="21"/>
        </w:rPr>
        <w:t xml:space="preserve">Componentniveau voor de board, sub-capabilityscores als bijlage.</w:t>
      </w:r>
    </w:p>
    <w:p>
      <w:pPr>
        <w:pStyle w:val="ListParagraph"/>
        <w:numPr>
          <w:ilvl w:val="0"/>
          <w:numId w:val="2"/>
        </w:numPr>
        <w:spacing w:after="70" w:line="280"/>
      </w:pPr>
      <w:r>
        <w:rPr>
          <w:rFonts w:ascii="Calibri" w:cs="Calibri" w:eastAsia="Calibri" w:hAnsi="Calibri"/>
          <w:color w:val="0E1A1C"/>
          <w:sz w:val="21"/>
          <w:szCs w:val="21"/>
        </w:rPr>
        <w:t xml:space="preserve">Scope, uitsluitingen, respondenten, periode en assessoren vooraan.</w:t>
      </w:r>
    </w:p>
    <w:p>
      <w:pPr>
        <w:pStyle w:val="ListParagraph"/>
        <w:numPr>
          <w:ilvl w:val="0"/>
          <w:numId w:val="2"/>
        </w:numPr>
        <w:spacing w:after="70" w:line="280"/>
      </w:pPr>
      <w:r>
        <w:rPr>
          <w:rFonts w:ascii="Calibri" w:cs="Calibri" w:eastAsia="Calibri" w:hAnsi="Calibri"/>
          <w:color w:val="0E1A1C"/>
          <w:sz w:val="21"/>
          <w:szCs w:val="21"/>
        </w:rPr>
        <w:t xml:space="preserve">Per component het zwaarste bewijs en de spreiding.</w:t>
      </w:r>
    </w:p>
    <w:p>
      <w:pPr>
        <w:pStyle w:val="ListParagraph"/>
        <w:numPr>
          <w:ilvl w:val="0"/>
          <w:numId w:val="2"/>
        </w:numPr>
        <w:spacing w:after="70" w:line="280"/>
      </w:pPr>
      <w:r>
        <w:rPr>
          <w:rFonts w:ascii="Calibri" w:cs="Calibri" w:eastAsia="Calibri" w:hAnsi="Calibri"/>
          <w:color w:val="0E1A1C"/>
          <w:sz w:val="21"/>
          <w:szCs w:val="21"/>
        </w:rPr>
        <w:t xml:space="preserve">Kalibratienotitie opgenomen of nauwkeurig aangehaald.</w:t>
      </w:r>
    </w:p>
    <w:p>
      <w:pPr>
        <w:pStyle w:val="ListParagraph"/>
        <w:numPr>
          <w:ilvl w:val="0"/>
          <w:numId w:val="2"/>
        </w:numPr>
        <w:spacing w:after="70" w:line="280"/>
      </w:pPr>
      <w:r>
        <w:rPr>
          <w:rFonts w:ascii="Calibri" w:cs="Calibri" w:eastAsia="Calibri" w:hAnsi="Calibri"/>
          <w:color w:val="0E1A1C"/>
          <w:sz w:val="21"/>
          <w:szCs w:val="21"/>
        </w:rPr>
        <w:t xml:space="preserve">Gatanalyse en drie scenario’s.</w:t>
      </w:r>
    </w:p>
    <w:p>
      <w:pPr>
        <w:pStyle w:val="ListParagraph"/>
        <w:numPr>
          <w:ilvl w:val="0"/>
          <w:numId w:val="2"/>
        </w:numPr>
        <w:spacing w:after="70" w:line="280"/>
      </w:pPr>
      <w:r>
        <w:rPr>
          <w:rFonts w:ascii="Calibri" w:cs="Calibri" w:eastAsia="Calibri" w:hAnsi="Calibri"/>
          <w:color w:val="0E1A1C"/>
          <w:sz w:val="21"/>
          <w:szCs w:val="21"/>
        </w:rPr>
        <w:t xml:space="preserve">De herhaalafspraak vastgelegd.</w:t>
      </w:r>
    </w:p>
    <w:p>
      <w:pPr>
        <w:pStyle w:val="ListParagraph"/>
        <w:numPr>
          <w:ilvl w:val="0"/>
          <w:numId w:val="2"/>
        </w:numPr>
        <w:spacing w:after="70" w:line="280"/>
      </w:pPr>
      <w:r>
        <w:rPr>
          <w:rFonts w:ascii="Calibri" w:cs="Calibri" w:eastAsia="Calibri" w:hAnsi="Calibri"/>
          <w:color w:val="0E1A1C"/>
          <w:sz w:val="21"/>
          <w:szCs w:val="21"/>
        </w:rPr>
        <w:t xml:space="preserve">Een gevraagd besluit met datum.</w:t>
      </w:r>
    </w:p>
    <w:p>
      <w:pPr>
        <w:pStyle w:val="Heading3"/>
        <w:spacing w:after="100" w:before="240"/>
      </w:pPr>
      <w:r>
        <w:rPr>
          <w:rFonts w:ascii="Calibri" w:cs="Calibri" w:eastAsia="Calibri" w:hAnsi="Calibri"/>
          <w:b/>
          <w:bCs/>
          <w:color w:val="3F7D74"/>
          <w:sz w:val="22"/>
          <w:szCs w:val="22"/>
        </w:rPr>
        <w:t xml:space="preserve">Waar het meestal misgaat</w:t>
      </w:r>
    </w:p>
    <w:p>
      <w:pPr>
        <w:pStyle w:val="ListParagraph"/>
        <w:numPr>
          <w:ilvl w:val="0"/>
          <w:numId w:val="2"/>
        </w:numPr>
        <w:spacing w:after="70" w:line="280"/>
      </w:pPr>
      <w:r>
        <w:rPr>
          <w:rFonts w:ascii="Calibri" w:cs="Calibri" w:eastAsia="Calibri" w:hAnsi="Calibri"/>
          <w:color w:val="0E1A1C"/>
          <w:sz w:val="21"/>
          <w:szCs w:val="21"/>
        </w:rPr>
        <w:t xml:space="preserve">De bijlage laten verwateren omdat niemand hem nu leest. De opvolger over twee jaar leest hem wel.</w:t>
      </w:r>
    </w:p>
    <w:p>
      <w:pPr>
        <w:pStyle w:val="ListParagraph"/>
        <w:numPr>
          <w:ilvl w:val="0"/>
          <w:numId w:val="2"/>
        </w:numPr>
        <w:spacing w:after="70" w:line="280"/>
      </w:pPr>
      <w:r>
        <w:rPr>
          <w:rFonts w:ascii="Calibri" w:cs="Calibri" w:eastAsia="Calibri" w:hAnsi="Calibri"/>
          <w:color w:val="0E1A1C"/>
          <w:sz w:val="21"/>
          <w:szCs w:val="21"/>
        </w:rPr>
        <w:t xml:space="preserve">De spreiding weglaten; die is zelf een bevinding.</w:t>
      </w:r>
    </w:p>
    <w:p>
      <w:pPr>
        <w:pStyle w:val="ListParagraph"/>
        <w:numPr>
          <w:ilvl w:val="0"/>
          <w:numId w:val="2"/>
        </w:numPr>
        <w:spacing w:after="70" w:line="280"/>
      </w:pPr>
      <w:r>
        <w:rPr>
          <w:rFonts w:ascii="Calibri" w:cs="Calibri" w:eastAsia="Calibri" w:hAnsi="Calibri"/>
          <w:color w:val="0E1A1C"/>
          <w:sz w:val="21"/>
          <w:szCs w:val="21"/>
        </w:rPr>
        <w:t xml:space="preserve">Eindigen bij de scores in plaats van bij een besluit — dezelfde fout als in deel 11.</w:t>
      </w:r>
    </w:p>
    <w:tbl>
      <w:tblPr>
        <w:tblW w:type="dxa" w:w="9020"/>
        <w:tblBorders>
          <w:top w:val="single" w:color="F6F3EC" w:sz="2"/>
          <w:left w:val="single" w:color="8A6425" w:sz="18"/>
          <w:bottom w:val="single" w:color="F6F3EC" w:sz="2"/>
          <w:right w:val="single" w:color="F6F3EC" w:sz="2"/>
          <w:insideH w:val="single" w:color="F6F3EC" w:sz="2"/>
          <w:insideV w:val="single" w:color="F6F3EC" w:sz="2"/>
        </w:tblBorders>
      </w:tblPr>
      <w:tblGrid>
        <w:gridCol w:w="9020"/>
      </w:tblGrid>
      <w:tr>
        <w:trPr>
          <w:cantSplit/>
        </w:trPr>
        <w:tc>
          <w:tcPr>
            <w:tcW w:type="dxa" w:w="9020"/>
            <w:shd w:fill="F6F3EC" w:color="auto" w:val="clear"/>
            <w:tcMar>
              <w:top w:type="dxa" w:w="160"/>
              <w:left w:type="dxa" w:w="200"/>
              <w:bottom w:type="dxa" w:w="160"/>
              <w:right w:type="dxa" w:w="200"/>
            </w:tcMar>
          </w:tcPr>
          <w:p>
            <w:pPr>
              <w:spacing w:after="80"/>
            </w:pPr>
            <w:r>
              <w:rPr>
                <w:rFonts w:ascii="Calibri" w:cs="Calibri" w:eastAsia="Calibri" w:hAnsi="Calibri"/>
                <w:b/>
                <w:bCs/>
                <w:caps/>
                <w:color w:val="8A6425"/>
                <w:sz w:val="19"/>
                <w:szCs w:val="19"/>
              </w:rPr>
              <w:t xml:space="preserve">Openingsvraag voor de nabespreking</w:t>
            </w:r>
          </w:p>
          <w:p>
            <w:pPr>
              <w:spacing w:after="60" w:line="280"/>
            </w:pPr>
            <w:r>
              <w:rPr>
                <w:rFonts w:ascii="Calibri" w:cs="Calibri" w:eastAsia="Calibri" w:hAnsi="Calibri"/>
                <w:color w:val="0E1A1C"/>
                <w:sz w:val="20"/>
                <w:szCs w:val="20"/>
              </w:rPr>
              <w:t xml:space="preserve">Voor wie schrijf je de bijlage? En zou die persoon er over twee jaar iets aan hebben?</w:t>
            </w:r>
          </w:p>
        </w:tc>
      </w:tr>
    </w:tbl>
    <w:p>
      <w:r>
        <w:br w:type="page"/>
      </w:r>
    </w:p>
    <w:p>
      <w:pPr>
        <w:pStyle w:val="Heading1"/>
        <w:spacing w:after="200" w:before="420"/>
      </w:pPr>
      <w:r>
        <w:rPr>
          <w:rFonts w:ascii="Cambria" w:cs="Cambria" w:eastAsia="Cambria" w:hAnsi="Cambria"/>
          <w:b/>
          <w:bCs/>
          <w:color w:val="1B4A48"/>
          <w:sz w:val="34"/>
          <w:szCs w:val="34"/>
        </w:rPr>
        <w:t xml:space="preserve">4. Sleutel bij de zelftoets</w:t>
      </w:r>
    </w:p>
    <w:p>
      <w:pPr>
        <w:spacing w:after="140" w:line="288"/>
      </w:pPr>
      <w:r>
        <w:rPr>
          <w:rFonts w:ascii="Calibri" w:cs="Calibri" w:eastAsia="Calibri" w:hAnsi="Calibri"/>
          <w:color w:val="0E1A1C"/>
          <w:sz w:val="21"/>
          <w:szCs w:val="21"/>
        </w:rPr>
        <w:t xml:space="preserve">De vragen zijn door Ductus opgesteld en zijn geen examenvragen; ze zijn niet ontleend aan officieel examenmateriaal. Ze trainen wel het vraagtype: een kort scenario en vier plausibele opties waarvan er één het best past.</w:t>
      </w:r>
    </w:p>
    <w:p>
      <w:pPr>
        <w:spacing w:after="140" w:line="288"/>
      </w:pPr>
      <w:r>
        <w:rPr>
          <w:rFonts w:ascii="Calibri" w:cs="Calibri" w:eastAsia="Calibri" w:hAnsi="Calibri"/>
          <w:color w:val="0E1A1C"/>
          <w:sz w:val="21"/>
          <w:szCs w:val="21"/>
        </w:rPr>
        <w:t xml:space="preserve">Bespreek niet alle vragen. Kies die waar de groep het meest op is uitgevallen en laat deelnemers elkaar eerst overtuigen.</w:t>
      </w:r>
    </w:p>
    <w:p>
      <w:pPr>
        <w:spacing w:after="140"/>
      </w:pPr>
      <w:r>
        <w:t xml:space="preserve"/>
      </w:r>
    </w:p>
    <w:p>
      <w:pPr>
        <w:spacing w:after="70" w:before="250"/>
      </w:pPr>
      <w:r>
        <w:rPr>
          <w:rFonts w:ascii="Consolas" w:cs="Consolas" w:eastAsia="Consolas" w:hAnsi="Consolas"/>
          <w:b/>
          <w:bCs/>
          <w:color w:val="3F7D74"/>
          <w:sz w:val="20"/>
          <w:szCs w:val="20"/>
        </w:rPr>
        <w:t xml:space="preserve">1.  </w:t>
      </w:r>
      <w:r>
        <w:rPr>
          <w:rFonts w:ascii="Calibri" w:cs="Calibri" w:eastAsia="Calibri" w:hAnsi="Calibri"/>
          <w:b/>
          <w:bCs/>
          <w:color w:val="0E1A1C"/>
          <w:sz w:val="20"/>
          <w:szCs w:val="20"/>
        </w:rPr>
        <w:t xml:space="preserve">Waarin verschilt DCAM van de aanpak uit deel 11?</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Het raamwerk en de scoringscriteria zijn vast; vergelijkbaarheid is het hoofddoel.</w:t>
      </w:r>
    </w:p>
    <w:p>
      <w:pPr>
        <w:spacing w:after="40" w:line="275"/>
        <w:ind w:left="420"/>
      </w:pPr>
      <w:r>
        <w:rPr>
          <w:rFonts w:ascii="Calibri" w:cs="Calibri" w:eastAsia="Calibri" w:hAnsi="Calibri"/>
          <w:color w:val="5F7375"/>
          <w:sz w:val="19"/>
          <w:szCs w:val="19"/>
        </w:rPr>
        <w:t xml:space="preserve">In deel 11 maakte je de schaal expliciet; hier neem je hem over — en dat maakt het strenger.</w:t>
      </w:r>
    </w:p>
    <w:p>
      <w:pPr>
        <w:spacing w:after="70" w:before="250"/>
      </w:pPr>
      <w:r>
        <w:rPr>
          <w:rFonts w:ascii="Consolas" w:cs="Consolas" w:eastAsia="Consolas" w:hAnsi="Consolas"/>
          <w:b/>
          <w:bCs/>
          <w:color w:val="3F7D74"/>
          <w:sz w:val="20"/>
          <w:szCs w:val="20"/>
        </w:rPr>
        <w:t xml:space="preserve">2.  </w:t>
      </w:r>
      <w:r>
        <w:rPr>
          <w:rFonts w:ascii="Calibri" w:cs="Calibri" w:eastAsia="Calibri" w:hAnsi="Calibri"/>
          <w:b/>
          <w:bCs/>
          <w:color w:val="0E1A1C"/>
          <w:sz w:val="20"/>
          <w:szCs w:val="20"/>
        </w:rPr>
        <w:t xml:space="preserve">Op welk niveau scoor je daadwerkelijk?</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Sub-capability</w:t>
      </w:r>
    </w:p>
    <w:p>
      <w:pPr>
        <w:spacing w:after="40" w:line="275"/>
        <w:ind w:left="420"/>
      </w:pPr>
      <w:r>
        <w:rPr>
          <w:rFonts w:ascii="Calibri" w:cs="Calibri" w:eastAsia="Calibri" w:hAnsi="Calibri"/>
          <w:color w:val="5F7375"/>
          <w:sz w:val="19"/>
          <w:szCs w:val="19"/>
        </w:rPr>
        <w:t xml:space="preserve">De hogere niveaus volgen uit de systematiek. Wie direct op componentniveau scoort, levert een DCAM-vormige rapportage zonder DCAM-waarde.</w:t>
      </w:r>
    </w:p>
    <w:p>
      <w:pPr>
        <w:spacing w:after="70" w:before="250"/>
      </w:pPr>
      <w:r>
        <w:rPr>
          <w:rFonts w:ascii="Consolas" w:cs="Consolas" w:eastAsia="Consolas" w:hAnsi="Consolas"/>
          <w:b/>
          <w:bCs/>
          <w:color w:val="3F7D74"/>
          <w:sz w:val="20"/>
          <w:szCs w:val="20"/>
        </w:rPr>
        <w:t xml:space="preserve">3.  </w:t>
      </w:r>
      <w:r>
        <w:rPr>
          <w:rFonts w:ascii="Calibri" w:cs="Calibri" w:eastAsia="Calibri" w:hAnsi="Calibri"/>
          <w:b/>
          <w:bCs/>
          <w:color w:val="0E1A1C"/>
          <w:sz w:val="20"/>
          <w:szCs w:val="20"/>
        </w:rPr>
        <w:t xml:space="preserve">Wat is het gevolg van de scoringscriteria vrij vertalen naar het Nederlands?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Vertaling introduceert nuances die de vergelijking met een volgende meting verstoren.</w:t>
      </w:r>
    </w:p>
    <w:p>
      <w:pPr>
        <w:spacing w:after="40" w:line="275"/>
        <w:ind w:left="420"/>
      </w:pPr>
      <w:r>
        <w:rPr>
          <w:rFonts w:ascii="Calibri" w:cs="Calibri" w:eastAsia="Calibri" w:hAnsi="Calibri"/>
          <w:color w:val="5F7375"/>
          <w:sz w:val="19"/>
          <w:szCs w:val="19"/>
        </w:rPr>
        <w:t xml:space="preserve">Werk met de oorspronkelijke tekst en maak eventueel een toelichting, geen vervanging.</w:t>
      </w:r>
    </w:p>
    <w:p>
      <w:pPr>
        <w:spacing w:after="70" w:before="250"/>
      </w:pPr>
      <w:r>
        <w:rPr>
          <w:rFonts w:ascii="Consolas" w:cs="Consolas" w:eastAsia="Consolas" w:hAnsi="Consolas"/>
          <w:b/>
          <w:bCs/>
          <w:color w:val="3F7D74"/>
          <w:sz w:val="20"/>
          <w:szCs w:val="20"/>
        </w:rPr>
        <w:t xml:space="preserve">4.  </w:t>
      </w:r>
      <w:r>
        <w:rPr>
          <w:rFonts w:ascii="Calibri" w:cs="Calibri" w:eastAsia="Calibri" w:hAnsi="Calibri"/>
          <w:b/>
          <w:bCs/>
          <w:color w:val="0E1A1C"/>
          <w:sz w:val="20"/>
          <w:szCs w:val="20"/>
        </w:rPr>
        <w:t xml:space="preserve">Welke vraag beantwoordt DCAM níét?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Wat moeten wij als eerste doen?</w:t>
      </w:r>
    </w:p>
    <w:p>
      <w:pPr>
        <w:spacing w:after="40" w:line="275"/>
        <w:ind w:left="420"/>
      </w:pPr>
      <w:r>
        <w:rPr>
          <w:rFonts w:ascii="Calibri" w:cs="Calibri" w:eastAsia="Calibri" w:hAnsi="Calibri"/>
          <w:color w:val="5F7375"/>
          <w:sz w:val="19"/>
          <w:szCs w:val="19"/>
        </w:rPr>
        <w:t xml:space="preserve">Daarvoor is de vertaalslag naar een roadmap nodig. Organisaties die verwachten dat de roadmap eruit rolt, zijn achteraf teleurgesteld.</w:t>
      </w:r>
    </w:p>
    <w:p>
      <w:pPr>
        <w:spacing w:after="70" w:before="250"/>
      </w:pPr>
      <w:r>
        <w:rPr>
          <w:rFonts w:ascii="Consolas" w:cs="Consolas" w:eastAsia="Consolas" w:hAnsi="Consolas"/>
          <w:b/>
          <w:bCs/>
          <w:color w:val="3F7D74"/>
          <w:sz w:val="20"/>
          <w:szCs w:val="20"/>
        </w:rPr>
        <w:t xml:space="preserve">5.  </w:t>
      </w:r>
      <w:r>
        <w:rPr>
          <w:rFonts w:ascii="Calibri" w:cs="Calibri" w:eastAsia="Calibri" w:hAnsi="Calibri"/>
          <w:b/>
          <w:bCs/>
          <w:color w:val="0E1A1C"/>
          <w:sz w:val="20"/>
          <w:szCs w:val="20"/>
        </w:rPr>
        <w:t xml:space="preserve">Een opdrachtgever vraagt of het assessment in drie weken kan. Wat is dat voor vraag?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scopevraag.</w:t>
      </w:r>
    </w:p>
    <w:p>
      <w:pPr>
        <w:spacing w:after="40" w:line="275"/>
        <w:ind w:left="420"/>
      </w:pPr>
      <w:r>
        <w:rPr>
          <w:rFonts w:ascii="Calibri" w:cs="Calibri" w:eastAsia="Calibri" w:hAnsi="Calibri"/>
          <w:color w:val="5F7375"/>
          <w:sz w:val="19"/>
          <w:szCs w:val="19"/>
        </w:rPr>
        <w:t xml:space="preserve">Wie het tempo verhoogt in plaats van de scope te bespreken, levert een assessment dat zijn belofte niet waarmaakt.</w:t>
      </w:r>
    </w:p>
    <w:p>
      <w:pPr>
        <w:spacing w:after="70" w:before="250"/>
      </w:pPr>
      <w:r>
        <w:rPr>
          <w:rFonts w:ascii="Consolas" w:cs="Consolas" w:eastAsia="Consolas" w:hAnsi="Consolas"/>
          <w:b/>
          <w:bCs/>
          <w:color w:val="3F7D74"/>
          <w:sz w:val="20"/>
          <w:szCs w:val="20"/>
        </w:rPr>
        <w:t xml:space="preserve">6.  </w:t>
      </w:r>
      <w:r>
        <w:rPr>
          <w:rFonts w:ascii="Calibri" w:cs="Calibri" w:eastAsia="Calibri" w:hAnsi="Calibri"/>
          <w:b/>
          <w:bCs/>
          <w:color w:val="0E1A1C"/>
          <w:sz w:val="20"/>
          <w:szCs w:val="20"/>
        </w:rPr>
        <w:t xml:space="preserve">Waarom is de middelste score bij twijfel onverstandig?</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Een organisatie die overal in het midden scoort, krijgt een rapport zonder richting.</w:t>
      </w:r>
    </w:p>
    <w:p>
      <w:pPr>
        <w:spacing w:after="40" w:line="275"/>
        <w:ind w:left="420"/>
      </w:pPr>
      <w:r>
        <w:rPr>
          <w:rFonts w:ascii="Calibri" w:cs="Calibri" w:eastAsia="Calibri" w:hAnsi="Calibri"/>
          <w:color w:val="5F7375"/>
          <w:sz w:val="19"/>
          <w:szCs w:val="19"/>
        </w:rPr>
        <w:t xml:space="preserve">Geen sterk punt om op voort te bouwen, geen zwak punt om aan te pakken. Stel in plaats daarvan de bewijsvraag.</w:t>
      </w:r>
    </w:p>
    <w:p>
      <w:pPr>
        <w:spacing w:after="70" w:before="250"/>
      </w:pPr>
      <w:r>
        <w:rPr>
          <w:rFonts w:ascii="Consolas" w:cs="Consolas" w:eastAsia="Consolas" w:hAnsi="Consolas"/>
          <w:b/>
          <w:bCs/>
          <w:color w:val="3F7D74"/>
          <w:sz w:val="20"/>
          <w:szCs w:val="20"/>
        </w:rPr>
        <w:t xml:space="preserve">7.  </w:t>
      </w:r>
      <w:r>
        <w:rPr>
          <w:rFonts w:ascii="Calibri" w:cs="Calibri" w:eastAsia="Calibri" w:hAnsi="Calibri"/>
          <w:b/>
          <w:bCs/>
          <w:color w:val="0E1A1C"/>
          <w:sz w:val="20"/>
          <w:szCs w:val="20"/>
        </w:rPr>
        <w:t xml:space="preserve">Er is een besluitrechtenmatrix. Waarvoor is dat bewijs?</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Voor vastlegging — niet voor toepassing; vraag naar de laatste vijf besluiten.</w:t>
      </w:r>
    </w:p>
    <w:p>
      <w:pPr>
        <w:spacing w:after="40" w:line="275"/>
        <w:ind w:left="420"/>
      </w:pPr>
      <w:r>
        <w:rPr>
          <w:rFonts w:ascii="Calibri" w:cs="Calibri" w:eastAsia="Calibri" w:hAnsi="Calibri"/>
          <w:color w:val="5F7375"/>
          <w:sz w:val="19"/>
          <w:szCs w:val="19"/>
        </w:rPr>
        <w:t xml:space="preserve">Eén artefact bewijst één ding, en assessoren gebruiken het voor drie.</w:t>
      </w:r>
    </w:p>
    <w:p>
      <w:pPr>
        <w:spacing w:after="70" w:before="250"/>
      </w:pPr>
      <w:r>
        <w:rPr>
          <w:rFonts w:ascii="Consolas" w:cs="Consolas" w:eastAsia="Consolas" w:hAnsi="Consolas"/>
          <w:b/>
          <w:bCs/>
          <w:color w:val="3F7D74"/>
          <w:sz w:val="20"/>
          <w:szCs w:val="20"/>
        </w:rPr>
        <w:t xml:space="preserve">8.  </w:t>
      </w:r>
      <w:r>
        <w:rPr>
          <w:rFonts w:ascii="Calibri" w:cs="Calibri" w:eastAsia="Calibri" w:hAnsi="Calibri"/>
          <w:b/>
          <w:bCs/>
          <w:color w:val="0E1A1C"/>
          <w:sz w:val="20"/>
          <w:szCs w:val="20"/>
        </w:rPr>
        <w:t xml:space="preserve">Welke systematische afwijking komt op sub-capabilityniveau bij?</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C — Wie het onderwerp het beste kent, scoort strenger.</w:t>
      </w:r>
    </w:p>
    <w:p>
      <w:pPr>
        <w:spacing w:after="40" w:line="275"/>
        <w:ind w:left="420"/>
      </w:pPr>
      <w:r>
        <w:rPr>
          <w:rFonts w:ascii="Calibri" w:cs="Calibri" w:eastAsia="Calibri" w:hAnsi="Calibri"/>
          <w:color w:val="5F7375"/>
          <w:sz w:val="19"/>
          <w:szCs w:val="19"/>
        </w:rPr>
        <w:t xml:space="preserve">Hij weet wat er nog meer mogelijk is, en scoort daardoor tegen een hogere lat.</w:t>
      </w:r>
    </w:p>
    <w:p>
      <w:pPr>
        <w:spacing w:after="70" w:before="250"/>
      </w:pPr>
      <w:r>
        <w:rPr>
          <w:rFonts w:ascii="Consolas" w:cs="Consolas" w:eastAsia="Consolas" w:hAnsi="Consolas"/>
          <w:b/>
          <w:bCs/>
          <w:color w:val="3F7D74"/>
          <w:sz w:val="20"/>
          <w:szCs w:val="20"/>
        </w:rPr>
        <w:t xml:space="preserve">9.  </w:t>
      </w:r>
      <w:r>
        <w:rPr>
          <w:rFonts w:ascii="Calibri" w:cs="Calibri" w:eastAsia="Calibri" w:hAnsi="Calibri"/>
          <w:b/>
          <w:bCs/>
          <w:color w:val="0E1A1C"/>
          <w:sz w:val="20"/>
          <w:szCs w:val="20"/>
        </w:rPr>
        <w:t xml:space="preserve">Waar begin je bij teamkalibratie?</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Bij de overlappende sub-capabilities die door twee assessoren zijn gescoord.</w:t>
      </w:r>
    </w:p>
    <w:p>
      <w:pPr>
        <w:spacing w:after="40" w:line="275"/>
        <w:ind w:left="420"/>
      </w:pPr>
      <w:r>
        <w:rPr>
          <w:rFonts w:ascii="Calibri" w:cs="Calibri" w:eastAsia="Calibri" w:hAnsi="Calibri"/>
          <w:color w:val="5F7375"/>
          <w:sz w:val="19"/>
          <w:szCs w:val="19"/>
        </w:rPr>
        <w:t xml:space="preserve">Blijkt daar een systematisch verschil, dan zit dat ook in het niet-overlappende deel.</w:t>
      </w:r>
    </w:p>
    <w:p>
      <w:pPr>
        <w:spacing w:after="70" w:before="250"/>
      </w:pPr>
      <w:r>
        <w:rPr>
          <w:rFonts w:ascii="Consolas" w:cs="Consolas" w:eastAsia="Consolas" w:hAnsi="Consolas"/>
          <w:b/>
          <w:bCs/>
          <w:color w:val="3F7D74"/>
          <w:sz w:val="20"/>
          <w:szCs w:val="20"/>
        </w:rPr>
        <w:t xml:space="preserve">10.  </w:t>
      </w:r>
      <w:r>
        <w:rPr>
          <w:rFonts w:ascii="Calibri" w:cs="Calibri" w:eastAsia="Calibri" w:hAnsi="Calibri"/>
          <w:b/>
          <w:bCs/>
          <w:color w:val="0E1A1C"/>
          <w:sz w:val="20"/>
          <w:szCs w:val="20"/>
        </w:rPr>
        <w:t xml:space="preserve">Waarom is een roadmap op grond van de laagste scores bijna altijd fout?</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 laagste score is niet het grootste risico, er zijn afhankelijkheden, en het benodigde niveau verschilt per component.</w:t>
      </w:r>
    </w:p>
    <w:p>
      <w:pPr>
        <w:spacing w:after="40" w:line="275"/>
        <w:ind w:left="420"/>
      </w:pPr>
      <w:r>
        <w:rPr>
          <w:rFonts w:ascii="Calibri" w:cs="Calibri" w:eastAsia="Calibri" w:hAnsi="Calibri"/>
          <w:color w:val="5F7375"/>
          <w:sz w:val="19"/>
          <w:szCs w:val="19"/>
        </w:rPr>
        <w:t xml:space="preserve">Bepaal per component wat de organisatie moet kunnen; het maximum is meestal niet nodig en niet betaalbaar.</w:t>
      </w:r>
    </w:p>
    <w:p>
      <w:pPr>
        <w:spacing w:after="70" w:before="250"/>
      </w:pPr>
      <w:r>
        <w:rPr>
          <w:rFonts w:ascii="Consolas" w:cs="Consolas" w:eastAsia="Consolas" w:hAnsi="Consolas"/>
          <w:b/>
          <w:bCs/>
          <w:color w:val="3F7D74"/>
          <w:sz w:val="20"/>
          <w:szCs w:val="20"/>
        </w:rPr>
        <w:t xml:space="preserve">11.  </w:t>
      </w:r>
      <w:r>
        <w:rPr>
          <w:rFonts w:ascii="Calibri" w:cs="Calibri" w:eastAsia="Calibri" w:hAnsi="Calibri"/>
          <w:b/>
          <w:bCs/>
          <w:color w:val="0E1A1C"/>
          <w:sz w:val="20"/>
          <w:szCs w:val="20"/>
        </w:rPr>
        <w:t xml:space="preserve">Wat maakt een herhaalmeting betekenisvol?</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Dezelfde scope, dezelfde discipline, dezelfde bewijslat, en de kalibratienotitie van de eerste meting.</w:t>
      </w:r>
    </w:p>
    <w:p>
      <w:pPr>
        <w:spacing w:after="40" w:line="275"/>
        <w:ind w:left="420"/>
      </w:pPr>
      <w:r>
        <w:rPr>
          <w:rFonts w:ascii="Calibri" w:cs="Calibri" w:eastAsia="Calibri" w:hAnsi="Calibri"/>
          <w:color w:val="5F7375"/>
          <w:sz w:val="19"/>
          <w:szCs w:val="19"/>
        </w:rPr>
        <w:t xml:space="preserve">Een uitgebreide scope die als groei wordt gepresenteerd, is misleiding — en een milder team meet het team, niet de organisatie.</w:t>
      </w:r>
    </w:p>
    <w:p>
      <w:pPr>
        <w:spacing w:after="70" w:before="250"/>
      </w:pPr>
      <w:r>
        <w:rPr>
          <w:rFonts w:ascii="Consolas" w:cs="Consolas" w:eastAsia="Consolas" w:hAnsi="Consolas"/>
          <w:b/>
          <w:bCs/>
          <w:color w:val="3F7D74"/>
          <w:sz w:val="20"/>
          <w:szCs w:val="20"/>
        </w:rPr>
        <w:t xml:space="preserve">12.  </w:t>
      </w:r>
      <w:r>
        <w:rPr>
          <w:rFonts w:ascii="Calibri" w:cs="Calibri" w:eastAsia="Calibri" w:hAnsi="Calibri"/>
          <w:b/>
          <w:bCs/>
          <w:color w:val="0E1A1C"/>
          <w:sz w:val="20"/>
          <w:szCs w:val="20"/>
        </w:rPr>
        <w:t xml:space="preserve">Wanneer plan je het DCAM-examen?</w:t>
      </w:r>
    </w:p>
    <w:p>
      <w:pPr>
        <w:spacing w:after="60"/>
        <w:ind w:left="420"/>
      </w:pPr>
      <w:r>
        <w:rPr>
          <w:rFonts w:ascii="Calibri" w:cs="Calibri" w:eastAsia="Calibri" w:hAnsi="Calibri"/>
          <w:b/>
          <w:bCs/>
          <w:color w:val="8A6425"/>
          <w:sz w:val="20"/>
          <w:szCs w:val="20"/>
        </w:rPr>
        <w:t xml:space="preserve">Juist: </w:t>
      </w:r>
      <w:r>
        <w:rPr>
          <w:rFonts w:ascii="Calibri" w:cs="Calibri" w:eastAsia="Calibri" w:hAnsi="Calibri"/>
          <w:color w:val="0E1A1C"/>
          <w:sz w:val="20"/>
          <w:szCs w:val="20"/>
        </w:rPr>
        <w:t xml:space="preserve">B — Ná een volledig assessment; de praktijkervaring maakt het verschil.</w:t>
      </w:r>
    </w:p>
    <w:p>
      <w:pPr>
        <w:spacing w:after="40" w:line="275"/>
        <w:ind w:left="420"/>
      </w:pPr>
      <w:r>
        <w:rPr>
          <w:rFonts w:ascii="Calibri" w:cs="Calibri" w:eastAsia="Calibri" w:hAnsi="Calibri"/>
          <w:color w:val="5F7375"/>
          <w:sz w:val="19"/>
          <w:szCs w:val="19"/>
        </w:rPr>
        <w:t xml:space="preserve">De vragen zijn overwegend toepassingsgericht. Wie één assessment heeft meegedraaid, herkent de vraagstelling.</w:t>
      </w:r>
    </w:p>
    <w:p>
      <w:r>
        <w:br w:type="page"/>
      </w:r>
    </w:p>
    <w:p>
      <w:pPr>
        <w:pStyle w:val="Heading1"/>
        <w:spacing w:after="200" w:before="420"/>
      </w:pPr>
      <w:r>
        <w:rPr>
          <w:rFonts w:ascii="Cambria" w:cs="Cambria" w:eastAsia="Cambria" w:hAnsi="Cambria"/>
          <w:b/>
          <w:bCs/>
          <w:color w:val="1B4A48"/>
          <w:sz w:val="34"/>
          <w:szCs w:val="34"/>
        </w:rPr>
        <w:t xml:space="preserve">5. Discussievragen voor als je tijd overhoudt</w:t>
      </w:r>
    </w:p>
    <w:p>
      <w:pPr>
        <w:pStyle w:val="ListParagraph"/>
        <w:numPr>
          <w:ilvl w:val="0"/>
          <w:numId w:val="3"/>
        </w:numPr>
        <w:spacing w:after="70" w:line="280"/>
      </w:pPr>
      <w:r>
        <w:rPr>
          <w:rFonts w:ascii="Calibri" w:cs="Calibri" w:eastAsia="Calibri" w:hAnsi="Calibri"/>
          <w:color w:val="0E1A1C"/>
          <w:sz w:val="21"/>
          <w:szCs w:val="21"/>
        </w:rPr>
        <w:t xml:space="preserve">Is een gesnoeid DCAM-assessment nog een DCAM-assessment?</w:t>
      </w:r>
    </w:p>
    <w:p>
      <w:pPr>
        <w:pStyle w:val="ListParagraph"/>
        <w:numPr>
          <w:ilvl w:val="0"/>
          <w:numId w:val="3"/>
        </w:numPr>
        <w:spacing w:after="70" w:line="280"/>
      </w:pPr>
      <w:r>
        <w:rPr>
          <w:rFonts w:ascii="Calibri" w:cs="Calibri" w:eastAsia="Calibri" w:hAnsi="Calibri"/>
          <w:color w:val="0E1A1C"/>
          <w:sz w:val="21"/>
          <w:szCs w:val="21"/>
        </w:rPr>
        <w:t xml:space="preserve">Wie zou het benodigde niveau per component moeten bepalen: de assessor of de organisatie?</w:t>
      </w:r>
    </w:p>
    <w:p>
      <w:pPr>
        <w:pStyle w:val="ListParagraph"/>
        <w:numPr>
          <w:ilvl w:val="0"/>
          <w:numId w:val="3"/>
        </w:numPr>
        <w:spacing w:after="70" w:line="280"/>
      </w:pPr>
      <w:r>
        <w:rPr>
          <w:rFonts w:ascii="Calibri" w:cs="Calibri" w:eastAsia="Calibri" w:hAnsi="Calibri"/>
          <w:color w:val="0E1A1C"/>
          <w:sz w:val="21"/>
          <w:szCs w:val="21"/>
        </w:rPr>
        <w:t xml:space="preserve">Is vergelijkbaarheid met de sector nuttig, of nodigt zij uit tot sturen op de score?</w:t>
      </w:r>
    </w:p>
    <w:p>
      <w:pPr>
        <w:pStyle w:val="ListParagraph"/>
        <w:numPr>
          <w:ilvl w:val="0"/>
          <w:numId w:val="3"/>
        </w:numPr>
        <w:spacing w:after="70" w:line="280"/>
      </w:pPr>
      <w:r>
        <w:rPr>
          <w:rFonts w:ascii="Calibri" w:cs="Calibri" w:eastAsia="Calibri" w:hAnsi="Calibri"/>
          <w:color w:val="0E1A1C"/>
          <w:sz w:val="21"/>
          <w:szCs w:val="21"/>
        </w:rPr>
        <w:t xml:space="preserve">Wat zegt het over een organisatie als de tweede meting door een ander bureau wordt gedaan?</w:t>
      </w:r>
    </w:p>
    <w:p>
      <w:pPr>
        <w:pStyle w:val="Heading1"/>
        <w:spacing w:after="200" w:before="420"/>
      </w:pPr>
      <w:r>
        <w:rPr>
          <w:rFonts w:ascii="Cambria" w:cs="Cambria" w:eastAsia="Cambria" w:hAnsi="Cambria"/>
          <w:b/>
          <w:bCs/>
          <w:color w:val="1B4A48"/>
          <w:sz w:val="34"/>
          <w:szCs w:val="34"/>
        </w:rPr>
        <w:t xml:space="preserve">6. Differentiatie</w:t>
      </w:r>
    </w:p>
    <w:p>
      <w:pPr>
        <w:pStyle w:val="Heading3"/>
        <w:spacing w:after="100" w:before="240"/>
      </w:pPr>
      <w:r>
        <w:rPr>
          <w:rFonts w:ascii="Calibri" w:cs="Calibri" w:eastAsia="Calibri" w:hAnsi="Calibri"/>
          <w:b/>
          <w:bCs/>
          <w:color w:val="3F7D74"/>
          <w:sz w:val="22"/>
          <w:szCs w:val="22"/>
        </w:rPr>
        <w:t xml:space="preserve">Voor deelnemers die het snel oppikken</w:t>
      </w:r>
    </w:p>
    <w:p>
      <w:pPr>
        <w:pStyle w:val="ListParagraph"/>
        <w:numPr>
          <w:ilvl w:val="0"/>
          <w:numId w:val="2"/>
        </w:numPr>
        <w:spacing w:after="70" w:line="280"/>
      </w:pPr>
      <w:r>
        <w:rPr>
          <w:rFonts w:ascii="Calibri" w:cs="Calibri" w:eastAsia="Calibri" w:hAnsi="Calibri"/>
          <w:color w:val="0E1A1C"/>
          <w:sz w:val="21"/>
          <w:szCs w:val="21"/>
        </w:rPr>
        <w:t xml:space="preserve">Laat een derde component scoren en beoordelen of de middenneiging afneemt met de ervaring.</w:t>
      </w:r>
    </w:p>
    <w:p>
      <w:pPr>
        <w:pStyle w:val="ListParagraph"/>
        <w:numPr>
          <w:ilvl w:val="0"/>
          <w:numId w:val="2"/>
        </w:numPr>
        <w:spacing w:after="70" w:line="280"/>
      </w:pPr>
      <w:r>
        <w:rPr>
          <w:rFonts w:ascii="Calibri" w:cs="Calibri" w:eastAsia="Calibri" w:hAnsi="Calibri"/>
          <w:color w:val="0E1A1C"/>
          <w:sz w:val="21"/>
          <w:szCs w:val="21"/>
        </w:rPr>
        <w:t xml:space="preserve">Vraag om het protocol voor de herhaalmeting volledig uit te werken, inclusief wat er gebeurt als de scope moet wijzigen.</w:t>
      </w:r>
    </w:p>
    <w:p>
      <w:pPr>
        <w:pStyle w:val="ListParagraph"/>
        <w:numPr>
          <w:ilvl w:val="0"/>
          <w:numId w:val="2"/>
        </w:numPr>
        <w:spacing w:after="70" w:line="280"/>
      </w:pPr>
      <w:r>
        <w:rPr>
          <w:rFonts w:ascii="Calibri" w:cs="Calibri" w:eastAsia="Calibri" w:hAnsi="Calibri"/>
          <w:color w:val="0E1A1C"/>
          <w:sz w:val="21"/>
          <w:szCs w:val="21"/>
        </w:rPr>
        <w:t xml:space="preserve">Laat een benchmarkparagraaf schrijven: hoe presenteer je een sectorvergelijking zonder te suggereren dat een hogere score altijd beter is?</w:t>
      </w:r>
    </w:p>
    <w:p>
      <w:pPr>
        <w:pStyle w:val="Heading3"/>
        <w:spacing w:after="100" w:before="240"/>
      </w:pPr>
      <w:r>
        <w:rPr>
          <w:rFonts w:ascii="Calibri" w:cs="Calibri" w:eastAsia="Calibri" w:hAnsi="Calibri"/>
          <w:b/>
          <w:bCs/>
          <w:color w:val="3F7D74"/>
          <w:sz w:val="22"/>
          <w:szCs w:val="22"/>
        </w:rPr>
        <w:t xml:space="preserve">Voor deelnemers die vastlopen</w:t>
      </w:r>
    </w:p>
    <w:p>
      <w:pPr>
        <w:pStyle w:val="ListParagraph"/>
        <w:numPr>
          <w:ilvl w:val="0"/>
          <w:numId w:val="2"/>
        </w:numPr>
        <w:spacing w:after="70" w:line="280"/>
      </w:pPr>
      <w:r>
        <w:rPr>
          <w:rFonts w:ascii="Calibri" w:cs="Calibri" w:eastAsia="Calibri" w:hAnsi="Calibri"/>
          <w:color w:val="0E1A1C"/>
          <w:sz w:val="21"/>
          <w:szCs w:val="21"/>
        </w:rPr>
        <w:t xml:space="preserve">Beperk opdracht 3 tot één component.</w:t>
      </w:r>
    </w:p>
    <w:p>
      <w:pPr>
        <w:pStyle w:val="ListParagraph"/>
        <w:numPr>
          <w:ilvl w:val="0"/>
          <w:numId w:val="2"/>
        </w:numPr>
        <w:spacing w:after="70" w:line="280"/>
      </w:pPr>
      <w:r>
        <w:rPr>
          <w:rFonts w:ascii="Calibri" w:cs="Calibri" w:eastAsia="Calibri" w:hAnsi="Calibri"/>
          <w:color w:val="0E1A1C"/>
          <w:sz w:val="21"/>
          <w:szCs w:val="21"/>
        </w:rPr>
        <w:t xml:space="preserve">Geef bij opdracht 4 aan welke drie artefacten schijnbaar breed zijn; het bepalen van de werkelijke reikwijdte is dan de oefening.</w:t>
      </w:r>
    </w:p>
    <w:p>
      <w:pPr>
        <w:pStyle w:val="ListParagraph"/>
        <w:numPr>
          <w:ilvl w:val="0"/>
          <w:numId w:val="2"/>
        </w:numPr>
        <w:spacing w:after="70" w:line="280"/>
      </w:pPr>
      <w:r>
        <w:rPr>
          <w:rFonts w:ascii="Calibri" w:cs="Calibri" w:eastAsia="Calibri" w:hAnsi="Calibri"/>
          <w:color w:val="0E1A1C"/>
          <w:sz w:val="21"/>
          <w:szCs w:val="21"/>
        </w:rPr>
        <w:t xml:space="preserve">Laat opdracht 5 in tweetallen doen in plaats van in groepen van drie.</w:t>
      </w:r>
    </w:p>
    <w:p>
      <w:pPr>
        <w:pStyle w:val="Heading1"/>
        <w:spacing w:after="200" w:before="420"/>
      </w:pPr>
      <w:r>
        <w:rPr>
          <w:rFonts w:ascii="Cambria" w:cs="Cambria" w:eastAsia="Cambria" w:hAnsi="Cambria"/>
          <w:b/>
          <w:bCs/>
          <w:color w:val="1B4A48"/>
          <w:sz w:val="34"/>
          <w:szCs w:val="34"/>
        </w:rPr>
        <w:t xml:space="preserve">7. Veelgestelde vragen</w:t>
      </w:r>
    </w:p>
    <w:tbl>
      <w:tblPr>
        <w:tblW w:type="dxa" w:w="9020"/>
        <w:tblBorders>
          <w:top w:val="single" w:color="C9D3CE" w:sz="2"/>
          <w:left w:val="single" w:color="C9D3CE" w:sz="2"/>
          <w:bottom w:val="single" w:color="C9D3CE" w:sz="2"/>
          <w:right w:val="single" w:color="C9D3CE" w:sz="2"/>
          <w:insideH w:val="single" w:color="C9D3CE" w:sz="2"/>
          <w:insideV w:val="single" w:color="C9D3CE" w:sz="2"/>
        </w:tblBorders>
      </w:tblPr>
      <w:tblGrid>
        <w:gridCol w:w="3200"/>
        <w:gridCol w:w="5820"/>
      </w:tblGrid>
      <w:tr>
        <w:trPr>
          <w:tblHeader/>
        </w:trPr>
        <w:tc>
          <w:tcPr>
            <w:tcW w:type="dxa" w:w="320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Vraag</w:t>
            </w:r>
          </w:p>
        </w:tc>
        <w:tc>
          <w:tcPr>
            <w:tcW w:type="dxa" w:w="5820"/>
            <w:shd w:fill="1B4A48" w:color="auto" w:val="clear"/>
            <w:tcMar>
              <w:top w:type="dxa" w:w="90"/>
              <w:left w:type="dxa" w:w="130"/>
              <w:bottom w:type="dxa" w:w="90"/>
              <w:right w:type="dxa" w:w="130"/>
            </w:tcMar>
          </w:tcPr>
          <w:p>
            <w:pPr>
              <w:spacing w:after="0" w:line="260"/>
            </w:pPr>
            <w:r>
              <w:rPr>
                <w:rFonts w:ascii="Calibri" w:cs="Calibri" w:eastAsia="Calibri" w:hAnsi="Calibri"/>
                <w:b/>
                <w:bCs/>
                <w:color w:val="FFFFFF"/>
                <w:sz w:val="18"/>
                <w:szCs w:val="18"/>
              </w:rPr>
              <w:t xml:space="preserve">Antwoord</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"Kan ik dit deel volgen zonder lidmaatschap?"</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Het framework is uitsluitend voor leden en wij reproduceren het niet. Zonder eigen toegang zijn de opdrachten niet uitvoerbaar.</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"Waarom staat de frameworkinhoud niet in de reader?"</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Omdat het auteursrechtelijk beschermd materiaal van de EDM Association is. Wij leren de toepassing; de inhoud lees je in je eigen portaal.</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"Vervangt DCAM het DMBOK?"</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Het DMBOK levert de taal en de diepgang, DCAM de meetlat. Wie DCAM gebruikt zonder DMBOK-kennis, scoort op begrippen die hij niet doorgrondt.</w:t>
            </w:r>
          </w:p>
        </w:tc>
      </w:tr>
      <w:tr>
        <w:tc>
          <w:tcPr>
            <w:tcW w:type="dxa" w:w="320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"Hoe lang duurt een volledig assessment?"</w:t>
            </w:r>
          </w:p>
        </w:tc>
        <w:tc>
          <w:tcPr>
            <w:tcW w:type="dxa" w:w="5820"/>
            <w:shd w:fill="EFF3F1"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Tien tot vijftien weken bij een organisatie van deze omvang. De score is het kleinste deel van het werk.</w:t>
            </w:r>
          </w:p>
        </w:tc>
      </w:tr>
      <w:tr>
        <w:tc>
          <w:tcPr>
            <w:tcW w:type="dxa" w:w="320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"Telt dit als officiële examentraining?"</w:t>
            </w:r>
          </w:p>
        </w:tc>
        <w:tc>
          <w:tcPr>
            <w:tcW w:type="dxa" w:w="5820"/>
            <w:shd w:fill="FFFFFF" w:color="auto" w:val="clear"/>
            <w:tcMar>
              <w:top w:type="dxa" w:w="90"/>
              <w:left w:type="dxa" w:w="130"/>
              <w:bottom w:type="dxa" w:w="90"/>
              <w:right w:type="dxa" w:w="130"/>
            </w:tcMar>
          </w:tcPr>
          <w:p>
            <w:pPr>
              <w:spacing w:after="0" w:line="260"/>
            </w:pPr>
            <w:r>
              <w:rPr>
                <w:rFonts w:ascii="Calibri" w:cs="Calibri" w:eastAsia="Calibri" w:hAnsi="Calibri"/>
                <w:b w:val="false"/>
                <w:bCs w:val="false"/>
                <w:color w:val="0E1A1C"/>
                <w:sz w:val="19"/>
                <w:szCs w:val="19"/>
              </w:rPr>
              <w:t xml:space="preserve">Nee. Ductus is geen geaccrediteerde DCAM-aanbieder en deze cursus is niet erkend door de EDM Association; dit is onafhankelijk voorbereidend materiaal.</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CE" w:sz="4"/>
      </w:pBdr>
      <w:spacing w:before="120"/>
      <w:jc w:val="right"/>
    </w:pPr>
    <w:r>
      <w:rPr>
        <w:rFonts w:ascii="Calibri" w:cs="Calibri" w:eastAsia="Calibri" w:hAnsi="Calibri"/>
        <w:color w:val="5F7375"/>
        <w:sz w:val="15"/>
        <w:szCs w:val="15"/>
      </w:rPr>
      <w:t xml:space="preserve">Ductus B.V.  ·  Deel 24 — DCAM v3 in de praktijk  ·  </w:t>
    </w:r>
    <w:r>
      <w:rPr>
        <w:rFonts w:ascii="Calibri" w:cs="Calibri" w:eastAsia="Calibri" w:hAnsi="Calibri"/>
        <w:color w:val="5F737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rPr>
        <w:color w:val="3F7D74"/>
      </w:rPr>
    </w:lvl>
  </w:abstractNum>
  <w:abstractNum w:abstractNumId="3" w15:restartNumberingAfterBreak="0">
    <w:multiLevelType w:val="hybridMultilevel"/>
    <w:lvl w:ilvl="0" w15:tentative="1">
      <w:start w:val="1"/>
      <w:numFmt w:val="decimal"/>
      <w:lvlText w:val="%1."/>
      <w:lvlJc w:val="left"/>
      <w:pPr>
        <w:ind w:left="400" w:hanging="220"/>
      </w:pPr>
      <w:rPr>
        <w:b/>
        <w:bCs/>
        <w:color w:val="3F7D7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DCAM v3 in de praktijk — Docentenhandleiding</dc:title>
  <dc:creator>Ductus B.V.</dc:creator>
  <dc:description>Cursusmateriaal datamanagement, data-analyse en data governance</dc:description>
  <cp:lastModifiedBy>Un-named</cp:lastModifiedBy>
  <cp:revision>1</cp:revision>
  <dcterms:created xsi:type="dcterms:W3CDTF">2026-08-05T14:04:35.000Z</dcterms:created>
  <dcterms:modified xsi:type="dcterms:W3CDTF">2026-08-05T14:04:35.000Z</dcterms:modified>
</cp:coreProperties>
</file>

<file path=docProps/custom.xml><?xml version="1.0" encoding="utf-8"?>
<Properties xmlns="http://schemas.openxmlformats.org/officeDocument/2006/custom-properties" xmlns:vt="http://schemas.openxmlformats.org/officeDocument/2006/docPropsVTypes"/>
</file>