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24</w:t>
      </w:r>
    </w:p>
    <w:p>
      <w:pPr>
        <w:spacing w:after="120"/>
      </w:pPr>
      <w:r>
        <w:rPr>
          <w:rFonts w:ascii="Cambria" w:cs="Cambria" w:eastAsia="Cambria" w:hAnsi="Cambria"/>
          <w:b/>
          <w:bCs/>
          <w:color w:val="0E1A1C"/>
          <w:sz w:val="56"/>
          <w:szCs w:val="56"/>
        </w:rPr>
        <w:t xml:space="preserve">DCAM v3 in de praktijk</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DCAM-examen, EDM Association</w:t>
      </w:r>
    </w:p>
    <w:p>
      <w:pPr>
        <w:spacing w:after="40"/>
      </w:pPr>
      <w:r>
        <w:rPr>
          <w:rFonts w:ascii="Consolas" w:cs="Consolas" w:eastAsia="Consolas" w:hAnsi="Consolas"/>
          <w:color w:val="5F7375"/>
          <w:sz w:val="17"/>
          <w:szCs w:val="17"/>
        </w:rPr>
        <w:t xml:space="preserve">VEREIST  </w:t>
      </w:r>
      <w:r>
        <w:rPr>
          <w:rFonts w:ascii="Calibri" w:cs="Calibri" w:eastAsia="Calibri" w:hAnsi="Calibri"/>
          <w:b/>
          <w:bCs/>
          <w:color w:val="0E1A1C"/>
          <w:sz w:val="20"/>
          <w:szCs w:val="20"/>
        </w:rPr>
        <w:t xml:space="preserve">Eigen toegang tot het DCAM-framework via het Knowledge Portal</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Wat dit deel wel en niet is</w:t>
            </w:r>
          </w:p>
          <w:p>
            <w:pPr>
              <w:spacing w:after="60" w:line="280"/>
            </w:pPr>
            <w:r>
              <w:rPr>
                <w:rFonts w:ascii="Calibri" w:cs="Calibri" w:eastAsia="Calibri" w:hAnsi="Calibri"/>
                <w:color w:val="0E1A1C"/>
                <w:sz w:val="20"/>
                <w:szCs w:val="20"/>
              </w:rPr>
              <w:t xml:space="preserve">Het DCAM-framework is eigendom van de EDM Association en uitsluitend beschikbaar voor leden, via het Knowledge Portal. Deze reader reproduceert de inhoud van het framework niet: geen componentteksten, geen capability-omschrijvingen, geen scoringscriteria.</w:t>
            </w:r>
          </w:p>
          <w:p>
            <w:pPr>
              <w:spacing w:after="60" w:line="280"/>
            </w:pPr>
            <w:r>
              <w:rPr>
                <w:rFonts w:ascii="Calibri" w:cs="Calibri" w:eastAsia="Calibri" w:hAnsi="Calibri"/>
                <w:color w:val="0E1A1C"/>
                <w:sz w:val="20"/>
                <w:szCs w:val="20"/>
              </w:rPr>
              <w:t xml:space="preserve">Wat dit deel wél doet, is leren hoe je met het framework werkt: hoe je een assessment inricht, op sub-capabilityniveau scoort, bewijs verzamelt dat standhoudt, kalibreert met meerdere assessoren, en van een score naar een roadmap komt.</w:t>
            </w:r>
          </w:p>
          <w:p>
            <w:pPr>
              <w:spacing w:after="60" w:line="280"/>
            </w:pPr>
            <w:r>
              <w:rPr>
                <w:rFonts w:ascii="Calibri" w:cs="Calibri" w:eastAsia="Calibri" w:hAnsi="Calibri"/>
                <w:color w:val="0E1A1C"/>
                <w:sz w:val="20"/>
                <w:szCs w:val="20"/>
              </w:rPr>
              <w:t xml:space="preserve">Je hebt dus je eigen toegang tot het Knowledge Portal nodig. Zonder die toegang kun je de opdrachten in dit deel niet uitvoeren. Ductus is geen geaccrediteerde DCAM-aanbieder en de cursus is niet erkend door de EDM Association.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In deel 11 leerde je een assessment uitvoeren met een raamwerk dat je zelf snoeide en waarvan je de schaal zelf expliciet maakte. DCAM werkt anders: het raamwerk is vast, de scoringscriteria zijn gegeven, en de vergelijkbaarheid over jaren en tussen organisaties is het hele punt. Dat maakt het strenger en op onderdelen ongemakkelijker.</w:t>
      </w:r>
    </w:p>
    <w:p>
      <w:pPr>
        <w:spacing w:after="140" w:line="288"/>
      </w:pPr>
      <w:r>
        <w:rPr>
          <w:rFonts w:ascii="Calibri" w:cs="Calibri" w:eastAsia="Calibri" w:hAnsi="Calibri"/>
          <w:color w:val="0E1A1C"/>
          <w:sz w:val="21"/>
          <w:szCs w:val="21"/>
        </w:rPr>
        <w:t xml:space="preserve">De gefuseerde organisatie wil een DCAM-assessment omdat de board vergelijkbaarheid vraagt: hoe staan wij ten opzichte van de sector, en hoe verandert dat over drie jaar? Dat is een legitieme vraag en het is precies waarvoor DCAM is gemaakt. Het is ook een vraag die je met het gesnoeide raamwerk uit deel 11 niet kunt beantwoorden.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bepaalt de scope van een DCAM-assessment en verantwoordt wat je wel en niet meet.</w:t>
      </w:r>
    </w:p>
    <w:p>
      <w:pPr>
        <w:pStyle w:val="ListParagraph"/>
        <w:numPr>
          <w:ilvl w:val="0"/>
          <w:numId w:val="2"/>
        </w:numPr>
        <w:spacing w:after="70" w:line="280"/>
      </w:pPr>
      <w:r>
        <w:rPr>
          <w:rFonts w:ascii="Calibri" w:cs="Calibri" w:eastAsia="Calibri" w:hAnsi="Calibri"/>
          <w:color w:val="0E1A1C"/>
          <w:sz w:val="21"/>
          <w:szCs w:val="21"/>
        </w:rPr>
        <w:t xml:space="preserve">Je stelt een respondentenplan op dat per component de juiste mensen bereikt.</w:t>
      </w:r>
    </w:p>
    <w:p>
      <w:pPr>
        <w:pStyle w:val="ListParagraph"/>
        <w:numPr>
          <w:ilvl w:val="0"/>
          <w:numId w:val="2"/>
        </w:numPr>
        <w:spacing w:after="70" w:line="280"/>
      </w:pPr>
      <w:r>
        <w:rPr>
          <w:rFonts w:ascii="Calibri" w:cs="Calibri" w:eastAsia="Calibri" w:hAnsi="Calibri"/>
          <w:color w:val="0E1A1C"/>
          <w:sz w:val="21"/>
          <w:szCs w:val="21"/>
        </w:rPr>
        <w:t xml:space="preserve">Je scoort op sub-capabilityniveau met de discipline die vergelijkbaarheid vereist.</w:t>
      </w:r>
    </w:p>
    <w:p>
      <w:pPr>
        <w:pStyle w:val="ListParagraph"/>
        <w:numPr>
          <w:ilvl w:val="0"/>
          <w:numId w:val="2"/>
        </w:numPr>
        <w:spacing w:after="70" w:line="280"/>
      </w:pPr>
      <w:r>
        <w:rPr>
          <w:rFonts w:ascii="Calibri" w:cs="Calibri" w:eastAsia="Calibri" w:hAnsi="Calibri"/>
          <w:color w:val="0E1A1C"/>
          <w:sz w:val="21"/>
          <w:szCs w:val="21"/>
        </w:rPr>
        <w:t xml:space="preserve">Je verzamelt bewijs dat op dat detailniveau standhoudt.</w:t>
      </w:r>
    </w:p>
    <w:p>
      <w:pPr>
        <w:pStyle w:val="ListParagraph"/>
        <w:numPr>
          <w:ilvl w:val="0"/>
          <w:numId w:val="2"/>
        </w:numPr>
        <w:spacing w:after="70" w:line="280"/>
      </w:pPr>
      <w:r>
        <w:rPr>
          <w:rFonts w:ascii="Calibri" w:cs="Calibri" w:eastAsia="Calibri" w:hAnsi="Calibri"/>
          <w:color w:val="0E1A1C"/>
          <w:sz w:val="21"/>
          <w:szCs w:val="21"/>
        </w:rPr>
        <w:t xml:space="preserve">Je kalibreert in een team van assessoren en legt de kalibratie vast.</w:t>
      </w:r>
    </w:p>
    <w:p>
      <w:pPr>
        <w:pStyle w:val="ListParagraph"/>
        <w:numPr>
          <w:ilvl w:val="0"/>
          <w:numId w:val="2"/>
        </w:numPr>
        <w:spacing w:after="70" w:line="280"/>
      </w:pPr>
      <w:r>
        <w:rPr>
          <w:rFonts w:ascii="Calibri" w:cs="Calibri" w:eastAsia="Calibri" w:hAnsi="Calibri"/>
          <w:color w:val="0E1A1C"/>
          <w:sz w:val="21"/>
          <w:szCs w:val="21"/>
        </w:rPr>
        <w:t xml:space="preserve">Je vertaalt een DCAM-uitkomst naar een roadmap zonder de score als doel te behandelen.</w:t>
      </w:r>
    </w:p>
    <w:p>
      <w:pPr>
        <w:pStyle w:val="ListParagraph"/>
        <w:numPr>
          <w:ilvl w:val="0"/>
          <w:numId w:val="2"/>
        </w:numPr>
        <w:spacing w:after="70" w:line="280"/>
      </w:pPr>
      <w:r>
        <w:rPr>
          <w:rFonts w:ascii="Calibri" w:cs="Calibri" w:eastAsia="Calibri" w:hAnsi="Calibri"/>
          <w:color w:val="0E1A1C"/>
          <w:sz w:val="21"/>
          <w:szCs w:val="21"/>
        </w:rPr>
        <w:t xml:space="preserve">Je richt een herhaalmeting zo in dat de vergelijking over jaren betekenisvol is.</w:t>
      </w:r>
    </w:p>
    <w:p>
      <w:r>
        <w:br w:type="page"/>
      </w:r>
    </w:p>
    <w:p>
      <w:pPr>
        <w:pStyle w:val="Heading1"/>
        <w:spacing w:after="200" w:before="420"/>
      </w:pPr>
      <w:r>
        <w:rPr>
          <w:rFonts w:ascii="Cambria" w:cs="Cambria" w:eastAsia="Cambria" w:hAnsi="Cambria"/>
          <w:b/>
          <w:bCs/>
          <w:color w:val="1B4A48"/>
          <w:sz w:val="34"/>
          <w:szCs w:val="34"/>
        </w:rPr>
        <w:t xml:space="preserve">2. De structuur op hoofdlijnen</w:t>
      </w:r>
    </w:p>
    <w:p>
      <w:pPr>
        <w:spacing w:after="140" w:line="288"/>
      </w:pPr>
      <w:r>
        <w:rPr>
          <w:rFonts w:ascii="Calibri" w:cs="Calibri" w:eastAsia="Calibri" w:hAnsi="Calibri"/>
          <w:color w:val="0E1A1C"/>
          <w:sz w:val="21"/>
          <w:szCs w:val="21"/>
        </w:rPr>
        <w:t xml:space="preserve">DCAM is opgebouwd uit acht componenten, elk onderverdeeld in capabilities en die weer in sub-capabilities. De precieze inhoud vind je in het Knowledge Portal; hier gaat het om wat die gelaagdheid voor jouw werk betekent.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200"/>
        <w:gridCol w:w="40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Niveau</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je op scoort</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Gevolg voor het assessment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Component</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direct — de componentscore volgt uit de lagen eronder</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Bestuurlijke rapportagelaag; hier praat je met de board</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Capability</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Afgeleid</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Nuttig voor het gesprek met een domeindirecteur</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Sub-capability</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Hier scoor je daadwerkelijk</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Dit is waar het werk zit, en waar de discipline nodig is</w:t>
            </w:r>
          </w:p>
        </w:tc>
      </w:tr>
    </w:tbl>
    <w:p>
      <w:pPr>
        <w:spacing w:after="140"/>
      </w:pPr>
      <w:r>
        <w:t xml:space="preserve"/>
      </w:r>
    </w:p>
    <w:p>
      <w:pPr>
        <w:spacing w:after="140" w:line="288"/>
      </w:pPr>
      <w:r>
        <w:rPr>
          <w:rFonts w:ascii="Calibri" w:cs="Calibri" w:eastAsia="Calibri" w:hAnsi="Calibri"/>
          <w:color w:val="0E1A1C"/>
          <w:sz w:val="21"/>
          <w:szCs w:val="21"/>
        </w:rPr>
        <w:t xml:space="preserve">Het aantal sub-capabilities is de reden dat een volledig DCAM-assessment weken kost. Dat is geen ontwerpfout: de vergelijkbaarheid die het framework belooft, is alleen mogelijk als iedereen op hetzelfde detailniveau scoort. Wie het detailniveau overslaat en direct op componentniveau een cijfer geeft, levert een DCAM-vormige rapportage zonder DCAM-waarde.</w:t>
      </w:r>
    </w:p>
    <w:p>
      <w:pPr>
        <w:pStyle w:val="Heading3"/>
        <w:spacing w:after="100" w:before="240"/>
      </w:pPr>
      <w:r>
        <w:rPr>
          <w:rFonts w:ascii="Calibri" w:cs="Calibri" w:eastAsia="Calibri" w:hAnsi="Calibri"/>
          <w:b/>
          <w:bCs/>
          <w:color w:val="3F7D74"/>
          <w:sz w:val="22"/>
          <w:szCs w:val="22"/>
        </w:rPr>
        <w:t xml:space="preserve">Wat de vaste schaal betekent</w:t>
      </w:r>
    </w:p>
    <w:p>
      <w:pPr>
        <w:pStyle w:val="ListParagraph"/>
        <w:numPr>
          <w:ilvl w:val="0"/>
          <w:numId w:val="3"/>
        </w:numPr>
        <w:spacing w:after="70" w:line="280"/>
      </w:pPr>
      <w:r>
        <w:rPr>
          <w:rFonts w:ascii="Calibri" w:cs="Calibri" w:eastAsia="Calibri" w:hAnsi="Calibri"/>
          <w:color w:val="0E1A1C"/>
          <w:sz w:val="21"/>
          <w:szCs w:val="21"/>
        </w:rPr>
        <w:t xml:space="preserve">Je herformuleert de scoringscriteria niet. Dat is de kern van het verschil met deel 11: daar maakte je de schaal expliciet, hier neem je hem over.</w:t>
      </w:r>
    </w:p>
    <w:p>
      <w:pPr>
        <w:pStyle w:val="ListParagraph"/>
        <w:numPr>
          <w:ilvl w:val="0"/>
          <w:numId w:val="3"/>
        </w:numPr>
        <w:spacing w:after="70" w:line="280"/>
      </w:pPr>
      <w:r>
        <w:rPr>
          <w:rFonts w:ascii="Calibri" w:cs="Calibri" w:eastAsia="Calibri" w:hAnsi="Calibri"/>
          <w:color w:val="0E1A1C"/>
          <w:sz w:val="21"/>
          <w:szCs w:val="21"/>
        </w:rPr>
        <w:t xml:space="preserve">Je snoeit niet in de sub-capabilities zonder dat vast te leggen. Een gesnoeid DCAM-assessment is legitiem, mits je expliciet bent over wat er buiten scope viel — en dan is de vergelijkbaarheid navenant beperkt.</w:t>
      </w:r>
    </w:p>
    <w:p>
      <w:pPr>
        <w:pStyle w:val="ListParagraph"/>
        <w:numPr>
          <w:ilvl w:val="0"/>
          <w:numId w:val="3"/>
        </w:numPr>
        <w:spacing w:after="70" w:line="280"/>
      </w:pPr>
      <w:r>
        <w:rPr>
          <w:rFonts w:ascii="Calibri" w:cs="Calibri" w:eastAsia="Calibri" w:hAnsi="Calibri"/>
          <w:color w:val="0E1A1C"/>
          <w:sz w:val="21"/>
          <w:szCs w:val="21"/>
        </w:rPr>
        <w:t xml:space="preserve">Je vertaalt de criteria niet vrij naar het Nederlands. Vertalen introduceert nuances die de vergelijking met een volgende meting verstoren. Werk met de oorspronkelijke tekst en maak eventueel een toelichting, geen vervanging.</w:t>
      </w:r>
    </w:p>
    <w:p>
      <w:pPr>
        <w:pStyle w:val="Heading1"/>
        <w:spacing w:after="200" w:before="420"/>
      </w:pPr>
      <w:r>
        <w:rPr>
          <w:rFonts w:ascii="Cambria" w:cs="Cambria" w:eastAsia="Cambria" w:hAnsi="Cambria"/>
          <w:b/>
          <w:bCs/>
          <w:color w:val="1B4A48"/>
          <w:sz w:val="34"/>
          <w:szCs w:val="34"/>
        </w:rPr>
        <w:t xml:space="preserve">3. DCAM naast de andere raamwerken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600"/>
        <w:gridCol w:w="2400"/>
        <w:gridCol w:w="21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DMBOK</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DCAM</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CMMI-DMM</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Aard</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Naslagwerk en taal</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Scorebaar assessmentraamwerk</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Volwassenheidsmodel, procesgericht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Beschikbaarheid</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 te koop</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Uitsluitend voor leden</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Via ISACA</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Detailniveau</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Kennisgebieden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Sub-capabilities</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Procesgebieden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Vergelijkbaarheid</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 je maakt je eigen schaal</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hoofddoel</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Binnen de CMMI-familie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het sterk in is</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Gemeenschappelijke taal en diepgang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Herhaalbaar meten en benchmarken</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Aansluiting bij bestaande CMMI-praktijk</w:t>
            </w:r>
          </w:p>
        </w:tc>
      </w:tr>
    </w:tbl>
    <w:p>
      <w:pPr>
        <w:spacing w:after="140"/>
      </w:pPr>
      <w:r>
        <w:t xml:space="preserve"/>
      </w:r>
    </w:p>
    <w:p>
      <w:pPr>
        <w:spacing w:after="140" w:line="288"/>
      </w:pPr>
      <w:r>
        <w:rPr>
          <w:rFonts w:ascii="Calibri" w:cs="Calibri" w:eastAsia="Calibri" w:hAnsi="Calibri"/>
          <w:color w:val="0E1A1C"/>
          <w:sz w:val="21"/>
          <w:szCs w:val="21"/>
        </w:rPr>
        <w:t xml:space="preserve">De praktische samenhang: het DMBOK levert de taal en de inhoudelijke diepgang, DCAM levert de meetlat. Ze concurreren dus niet. Wie DCAM gebruikt zonder DMBOK-kennis, scoort op begrippen die hij niet doorgrondt; wie DMBOK gebruikt zonder meetlat, produceert een oordeel dat niet te herhalen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Wat je tegen een opdrachtgever zegt</w:t>
            </w:r>
          </w:p>
          <w:p>
            <w:pPr>
              <w:spacing w:after="60" w:line="280"/>
            </w:pPr>
            <w:r>
              <w:rPr>
                <w:rFonts w:ascii="Calibri" w:cs="Calibri" w:eastAsia="Calibri" w:hAnsi="Calibri"/>
                <w:color w:val="0E1A1C"/>
                <w:sz w:val="20"/>
                <w:szCs w:val="20"/>
              </w:rPr>
              <w:t xml:space="preserve">DCAM beantwoordt de vraag "hoe staan wij ervoor ten opzichte van anderen en van onszelf vorig jaar". Het beantwoordt níét de vraag "wat moeten wij als eerste doen" — daarvoor is de vertaalslag uit hoofdstuk 8 nodig. Organisaties die DCAM inzetten en verwachten dat de roadmap eruit rolt, zijn achteraf teleurgesteld en wijten dat aan het framework.</w:t>
            </w:r>
          </w:p>
        </w:tc>
      </w:tr>
    </w:tbl>
    <w:p>
      <w:pPr>
        <w:pStyle w:val="Heading1"/>
        <w:spacing w:after="200" w:before="420"/>
      </w:pPr>
      <w:r>
        <w:rPr>
          <w:rFonts w:ascii="Cambria" w:cs="Cambria" w:eastAsia="Cambria" w:hAnsi="Cambria"/>
          <w:b/>
          <w:bCs/>
          <w:color w:val="1B4A48"/>
          <w:sz w:val="34"/>
          <w:szCs w:val="34"/>
        </w:rPr>
        <w:t xml:space="preserve">4. Het assessmenttraject</w:t>
      </w:r>
    </w:p>
    <w:p>
      <w:pPr>
        <w:spacing w:after="140" w:line="288"/>
      </w:pPr>
      <w:r>
        <w:rPr>
          <w:rFonts w:ascii="Calibri" w:cs="Calibri" w:eastAsia="Calibri" w:hAnsi="Calibri"/>
          <w:color w:val="0E1A1C"/>
          <w:sz w:val="21"/>
          <w:szCs w:val="21"/>
        </w:rPr>
        <w:t xml:space="preserve">Een volledig assessment is een project. Onderschat de doorlooptijd niet: de score is het kleinste deel van het werk.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4400"/>
        <w:gridCol w:w="25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Fase</w:t>
            </w:r>
          </w:p>
        </w:tc>
        <w:tc>
          <w:tcPr>
            <w:tcW w:type="dxa" w:w="4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Doorlooptijd</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Scope en opzet</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Componenten, domeinen, diepgang, en wie assessor is</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tot 2 weken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Voorbereiding</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Respondentenplan, documentaanvraag, planning</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weken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Dataverzameling</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Interviews, documentstudie, waarnemingen in systemen</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tot 6 weken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Scoren</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Onafhankelijk scoren per assessor op sub-capabilityniveau</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tot 2 weken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Kalibratie</w:t>
            </w:r>
          </w:p>
        </w:tc>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Verschillen herleiden en gezamenlijke score vaststellen</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tot 5 dagen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Rapportage en terugkoppeling</w:t>
            </w:r>
          </w:p>
        </w:tc>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Rapport, validatiesessie met de organisatie, oplevering</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weken</w:t>
            </w:r>
          </w:p>
        </w:tc>
      </w:tr>
    </w:tbl>
    <w:p>
      <w:pPr>
        <w:spacing w:after="140"/>
      </w:pPr>
      <w:r>
        <w:t xml:space="preserve"/>
      </w:r>
    </w:p>
    <w:p>
      <w:pPr>
        <w:spacing w:after="140" w:line="288"/>
      </w:pPr>
      <w:r>
        <w:rPr>
          <w:rFonts w:ascii="Calibri" w:cs="Calibri" w:eastAsia="Calibri" w:hAnsi="Calibri"/>
          <w:color w:val="0E1A1C"/>
          <w:sz w:val="21"/>
          <w:szCs w:val="21"/>
        </w:rPr>
        <w:t xml:space="preserve">Reken op tien tot vijftien weken voor een volledig assessment bij een organisatie van deze omvang. Een opdrachtgever die vraagt of het in drie weken kan, vraagt feitelijk om een gesnoeid assessment — bespreek dat expliciet in plaats van het tempo te verhogen.</w:t>
      </w:r>
    </w:p>
    <w:p>
      <w:pPr>
        <w:pStyle w:val="Heading3"/>
        <w:spacing w:after="100" w:before="240"/>
      </w:pPr>
      <w:r>
        <w:rPr>
          <w:rFonts w:ascii="Calibri" w:cs="Calibri" w:eastAsia="Calibri" w:hAnsi="Calibri"/>
          <w:b/>
          <w:bCs/>
          <w:color w:val="3F7D74"/>
          <w:sz w:val="22"/>
          <w:szCs w:val="22"/>
        </w:rPr>
        <w:t xml:space="preserve">De validatiesessie</w:t>
      </w:r>
    </w:p>
    <w:p>
      <w:pPr>
        <w:spacing w:after="140" w:line="288"/>
      </w:pPr>
      <w:r>
        <w:rPr>
          <w:rFonts w:ascii="Calibri" w:cs="Calibri" w:eastAsia="Calibri" w:hAnsi="Calibri"/>
          <w:color w:val="0E1A1C"/>
          <w:sz w:val="21"/>
          <w:szCs w:val="21"/>
        </w:rPr>
        <w:t xml:space="preserve">Het onderdeel dat het vaakst wordt overgeslagen en dat het meeste bepaalt of de uitkomst wordt geaccepteerd: je legt de scores voorafgaand aan de definitieve rapportage voor aan de organisatie, met het bewijs erbij. Niet om te onderhandelen, maar om feitelijke onjuistheden te vinden — en die zijn er altijd. Een score die op een verouderd document rust, is een score die bij de eerste weerlegging valt.</w:t>
      </w:r>
    </w:p>
    <w:p>
      <w:r>
        <w:br w:type="page"/>
      </w:r>
    </w:p>
    <w:p>
      <w:pPr>
        <w:pStyle w:val="Heading1"/>
        <w:spacing w:after="200" w:before="420"/>
      </w:pPr>
      <w:r>
        <w:rPr>
          <w:rFonts w:ascii="Cambria" w:cs="Cambria" w:eastAsia="Cambria" w:hAnsi="Cambria"/>
          <w:b/>
          <w:bCs/>
          <w:color w:val="1B4A48"/>
          <w:sz w:val="34"/>
          <w:szCs w:val="34"/>
        </w:rPr>
        <w:t xml:space="preserve">5. Scoren op sub-capabilityniveau</w:t>
      </w:r>
    </w:p>
    <w:p>
      <w:pPr>
        <w:spacing w:after="140" w:line="288"/>
      </w:pPr>
      <w:r>
        <w:rPr>
          <w:rFonts w:ascii="Calibri" w:cs="Calibri" w:eastAsia="Calibri" w:hAnsi="Calibri"/>
          <w:color w:val="0E1A1C"/>
          <w:sz w:val="21"/>
          <w:szCs w:val="21"/>
        </w:rPr>
        <w:t xml:space="preserve">Dit is waar DCAM zich onderscheidt en waar de meeste fouten worden gemaakt. Vier regels.</w:t>
      </w:r>
    </w:p>
    <w:p>
      <w:pPr>
        <w:pStyle w:val="ListParagraph"/>
        <w:numPr>
          <w:ilvl w:val="0"/>
          <w:numId w:val="4"/>
        </w:numPr>
        <w:spacing w:after="70" w:line="280"/>
      </w:pPr>
      <w:r>
        <w:rPr>
          <w:rFonts w:ascii="Calibri" w:cs="Calibri" w:eastAsia="Calibri" w:hAnsi="Calibri"/>
          <w:color w:val="0E1A1C"/>
          <w:sz w:val="21"/>
          <w:szCs w:val="21"/>
        </w:rPr>
        <w:t xml:space="preserve">Scoor elke sub-capability apart, ook als het gevoel zegt dat ze samenhangen. Het aggregeren gebeurt in de systematiek, niet in je hoofd.</w:t>
      </w:r>
    </w:p>
    <w:p>
      <w:pPr>
        <w:pStyle w:val="ListParagraph"/>
        <w:numPr>
          <w:ilvl w:val="0"/>
          <w:numId w:val="4"/>
        </w:numPr>
        <w:spacing w:after="70" w:line="280"/>
      </w:pPr>
      <w:r>
        <w:rPr>
          <w:rFonts w:ascii="Calibri" w:cs="Calibri" w:eastAsia="Calibri" w:hAnsi="Calibri"/>
          <w:color w:val="0E1A1C"/>
          <w:sz w:val="21"/>
          <w:szCs w:val="21"/>
        </w:rPr>
        <w:t xml:space="preserve">Scoor op wat er is, niet op wat er is bedoeld. Een vastgesteld beleid dat niet wordt uitgevoerd, scoort op uitvoering niet mee.</w:t>
      </w:r>
    </w:p>
    <w:p>
      <w:pPr>
        <w:pStyle w:val="ListParagraph"/>
        <w:numPr>
          <w:ilvl w:val="0"/>
          <w:numId w:val="4"/>
        </w:numPr>
        <w:spacing w:after="70" w:line="280"/>
      </w:pPr>
      <w:r>
        <w:rPr>
          <w:rFonts w:ascii="Calibri" w:cs="Calibri" w:eastAsia="Calibri" w:hAnsi="Calibri"/>
          <w:color w:val="0E1A1C"/>
          <w:sz w:val="21"/>
          <w:szCs w:val="21"/>
        </w:rPr>
        <w:t xml:space="preserve">Gebruik de volledige schaal. Assessoren neigen naar het midden; dat maakt de uitkomst onbruikbaar voor vergelijking, want elke organisatie eindigt dan rond hetzelfde punt.</w:t>
      </w:r>
    </w:p>
    <w:p>
      <w:pPr>
        <w:pStyle w:val="ListParagraph"/>
        <w:numPr>
          <w:ilvl w:val="0"/>
          <w:numId w:val="4"/>
        </w:numPr>
        <w:spacing w:after="70" w:line="280"/>
      </w:pPr>
      <w:r>
        <w:rPr>
          <w:rFonts w:ascii="Calibri" w:cs="Calibri" w:eastAsia="Calibri" w:hAnsi="Calibri"/>
          <w:color w:val="0E1A1C"/>
          <w:sz w:val="21"/>
          <w:szCs w:val="21"/>
        </w:rPr>
        <w:t xml:space="preserve">Noteer bij elke score het bewijsstuk. Zonder die notitie is de kalibratie later niet uit te voeren en de herhaalmeting betekenisloos.</w:t>
      </w:r>
    </w:p>
    <w:p>
      <w:pPr>
        <w:pStyle w:val="Heading3"/>
        <w:spacing w:after="100" w:before="240"/>
      </w:pPr>
      <w:r>
        <w:rPr>
          <w:rFonts w:ascii="Calibri" w:cs="Calibri" w:eastAsia="Calibri" w:hAnsi="Calibri"/>
          <w:b/>
          <w:bCs/>
          <w:color w:val="3F7D74"/>
          <w:sz w:val="22"/>
          <w:szCs w:val="22"/>
        </w:rPr>
        <w:t xml:space="preserve">De middenneiging</w:t>
      </w:r>
    </w:p>
    <w:p>
      <w:pPr>
        <w:spacing w:after="140" w:line="288"/>
      </w:pPr>
      <w:r>
        <w:rPr>
          <w:rFonts w:ascii="Calibri" w:cs="Calibri" w:eastAsia="Calibri" w:hAnsi="Calibri"/>
          <w:color w:val="0E1A1C"/>
          <w:sz w:val="21"/>
          <w:szCs w:val="21"/>
        </w:rPr>
        <w:t xml:space="preserve">De derde regel verdient uitleg, omdat hij tegen de intuïtie ingaat. Assessoren die twijfelen, kiezen de middelste score — dat voelt voorzichtig en het is het tegendeel. Een organisatie die op vrijwel alles in het midden scoort, krijgt een rapport zonder richting: er is geen sterk punt om op voort te bouwen en geen zwak punt om aan te pakken.</w:t>
      </w:r>
    </w:p>
    <w:p>
      <w:pPr>
        <w:spacing w:after="140" w:line="288"/>
      </w:pPr>
      <w:r>
        <w:rPr>
          <w:rFonts w:ascii="Calibri" w:cs="Calibri" w:eastAsia="Calibri" w:hAnsi="Calibri"/>
          <w:color w:val="0E1A1C"/>
          <w:sz w:val="21"/>
          <w:szCs w:val="21"/>
        </w:rPr>
        <w:t xml:space="preserve">De remedie is de bewijsvraag consequent stellen. Bij twijfel is de vraag niet "hoe volwassen voelt dit", maar "welk bewijs heb ik, en welk scoreniveau draagt dat bewijs". Dat leidt bijna altijd naar boven of naar beneden, niet naar het midden.</w:t>
      </w:r>
    </w:p>
    <w:p>
      <w:pPr>
        <w:pStyle w:val="Heading1"/>
        <w:spacing w:after="200" w:before="420"/>
      </w:pPr>
      <w:r>
        <w:rPr>
          <w:rFonts w:ascii="Cambria" w:cs="Cambria" w:eastAsia="Cambria" w:hAnsi="Cambria"/>
          <w:b/>
          <w:bCs/>
          <w:color w:val="1B4A48"/>
          <w:sz w:val="34"/>
          <w:szCs w:val="34"/>
        </w:rPr>
        <w:t xml:space="preserve">6. Bewijs op detailniveau</w:t>
      </w:r>
    </w:p>
    <w:p>
      <w:pPr>
        <w:spacing w:after="140" w:line="288"/>
      </w:pPr>
      <w:r>
        <w:rPr>
          <w:rFonts w:ascii="Calibri" w:cs="Calibri" w:eastAsia="Calibri" w:hAnsi="Calibri"/>
          <w:color w:val="0E1A1C"/>
          <w:sz w:val="21"/>
          <w:szCs w:val="21"/>
        </w:rPr>
        <w:t xml:space="preserve">De bewijsladder uit deel 11 — uitspraak, document, waarneming — geldt onverkort. Op sub-capabilityniveau komt er iets bij: het bewijs moet specifiek genoeg zijn voor de sub-capability, niet voor het onderwerp in het algemeen.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600"/>
        <w:gridCol w:w="3200"/>
        <w:gridCol w:w="3220"/>
      </w:tblGrid>
      <w:tr>
        <w:trPr>
          <w:tblHeader/>
        </w:trPr>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Situatie</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lijkt</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is een begrippenkader met eigenaren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Bewijs voor alle sub-capabilities rond begripsbeheer</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Bewijs voor het bestaan; niet voor het wijzigingsproces, de dekking of het gebruik</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draaien kwaliteitsregels</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Bewijs voor het kwaliteitscomponent</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Bewijs voor meting; niet voor normstelling, remediatie of borging</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is een besluitrechtenmatrix</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Bewijs voor governance</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Bewijs voor vastlegging; niet voor toepassing — vraag naar de laatste vijf besluiten</w:t>
            </w:r>
          </w:p>
        </w:tc>
      </w:tr>
    </w:tbl>
    <w:p>
      <w:pPr>
        <w:spacing w:after="140"/>
      </w:pPr>
      <w:r>
        <w:t xml:space="preserve"/>
      </w:r>
    </w:p>
    <w:p>
      <w:pPr>
        <w:spacing w:after="140" w:line="288"/>
      </w:pPr>
      <w:r>
        <w:rPr>
          <w:rFonts w:ascii="Calibri" w:cs="Calibri" w:eastAsia="Calibri" w:hAnsi="Calibri"/>
          <w:color w:val="0E1A1C"/>
          <w:sz w:val="21"/>
          <w:szCs w:val="21"/>
        </w:rPr>
        <w:t xml:space="preserve">Het patroon: één artefact bewijst één ding, en assessoren gebruiken het voor drie. Dat is de meest voorkomende oorzaak van scores die bij kalibratie ver uiteenlopen, en van rapporten die bij een herhaalmeting niet reproduceerbaar blijken.</w:t>
      </w:r>
    </w:p>
    <w:p>
      <w:pPr>
        <w:pStyle w:val="Heading1"/>
        <w:spacing w:after="200" w:before="420"/>
      </w:pPr>
      <w:r>
        <w:rPr>
          <w:rFonts w:ascii="Cambria" w:cs="Cambria" w:eastAsia="Cambria" w:hAnsi="Cambria"/>
          <w:b/>
          <w:bCs/>
          <w:color w:val="1B4A48"/>
          <w:sz w:val="34"/>
          <w:szCs w:val="34"/>
        </w:rPr>
        <w:t xml:space="preserve">7. Kalibratie in een team</w:t>
      </w:r>
    </w:p>
    <w:p>
      <w:pPr>
        <w:spacing w:after="140" w:line="288"/>
      </w:pPr>
      <w:r>
        <w:rPr>
          <w:rFonts w:ascii="Calibri" w:cs="Calibri" w:eastAsia="Calibri" w:hAnsi="Calibri"/>
          <w:color w:val="0E1A1C"/>
          <w:sz w:val="21"/>
          <w:szCs w:val="21"/>
        </w:rPr>
        <w:t xml:space="preserve">Bij een volledig assessment werk je zelden alleen. Twee tot vier assessoren is gebruikelijk, en dan is kalibratie geen nette afronding maar een noodzakelijke stap.</w:t>
      </w:r>
    </w:p>
    <w:p>
      <w:pPr>
        <w:pStyle w:val="ListParagraph"/>
        <w:numPr>
          <w:ilvl w:val="0"/>
          <w:numId w:val="3"/>
        </w:numPr>
        <w:spacing w:after="70" w:line="280"/>
      </w:pPr>
      <w:r>
        <w:rPr>
          <w:rFonts w:ascii="Calibri" w:cs="Calibri" w:eastAsia="Calibri" w:hAnsi="Calibri"/>
          <w:color w:val="0E1A1C"/>
          <w:sz w:val="21"/>
          <w:szCs w:val="21"/>
        </w:rPr>
        <w:t xml:space="preserve">Verdeel de componenten, maar laat minimaal twee sub-capabilities per component door twee assessoren scoren. Dat levert de meetlat voor de onderlinge vergelijking.</w:t>
      </w:r>
    </w:p>
    <w:p>
      <w:pPr>
        <w:pStyle w:val="ListParagraph"/>
        <w:numPr>
          <w:ilvl w:val="0"/>
          <w:numId w:val="3"/>
        </w:numPr>
        <w:spacing w:after="70" w:line="280"/>
      </w:pPr>
      <w:r>
        <w:rPr>
          <w:rFonts w:ascii="Calibri" w:cs="Calibri" w:eastAsia="Calibri" w:hAnsi="Calibri"/>
          <w:color w:val="0E1A1C"/>
          <w:sz w:val="21"/>
          <w:szCs w:val="21"/>
        </w:rPr>
        <w:t xml:space="preserve">Kalibreer eerst op die overlap, vóór de rest. Blijkt daar een systematisch verschil, dan is dat verschil ook in het niet-overlappende deel aanwezig.</w:t>
      </w:r>
    </w:p>
    <w:p>
      <w:pPr>
        <w:pStyle w:val="ListParagraph"/>
        <w:numPr>
          <w:ilvl w:val="0"/>
          <w:numId w:val="3"/>
        </w:numPr>
        <w:spacing w:after="70" w:line="280"/>
      </w:pPr>
      <w:r>
        <w:rPr>
          <w:rFonts w:ascii="Calibri" w:cs="Calibri" w:eastAsia="Calibri" w:hAnsi="Calibri"/>
          <w:color w:val="0E1A1C"/>
          <w:sz w:val="21"/>
          <w:szCs w:val="21"/>
        </w:rPr>
        <w:t xml:space="preserve">Herleid elk verschil naar het bewijsstuk, niet naar interpretatie. Bij verschillende bewijsstukken is de vraag welke zwaarder weegt; bij hetzelfde bewijsstuk is de vraag welk scoreniveau het draagt.</w:t>
      </w:r>
    </w:p>
    <w:p>
      <w:pPr>
        <w:pStyle w:val="ListParagraph"/>
        <w:numPr>
          <w:ilvl w:val="0"/>
          <w:numId w:val="3"/>
        </w:numPr>
        <w:spacing w:after="70" w:line="280"/>
      </w:pPr>
      <w:r>
        <w:rPr>
          <w:rFonts w:ascii="Calibri" w:cs="Calibri" w:eastAsia="Calibri" w:hAnsi="Calibri"/>
          <w:color w:val="0E1A1C"/>
          <w:sz w:val="21"/>
          <w:szCs w:val="21"/>
        </w:rPr>
        <w:t xml:space="preserve">Leg de kalibratie vast op het niveau waarop je hebt gescoord. Een kalibratienotitie op componentniveau helpt bij een herhaalmeting niet.</w:t>
      </w:r>
    </w:p>
    <w:p>
      <w:pPr>
        <w:spacing w:after="140" w:line="288"/>
      </w:pPr>
      <w:r>
        <w:rPr>
          <w:rFonts w:ascii="Calibri" w:cs="Calibri" w:eastAsia="Calibri" w:hAnsi="Calibri"/>
          <w:color w:val="0E1A1C"/>
          <w:sz w:val="21"/>
          <w:szCs w:val="21"/>
        </w:rPr>
        <w:t xml:space="preserve">Let ook hier op de twee systematische afwijkingen uit deel 11 — de interne assessor scoort hoger, wie de meeste interviews deed scoort lager — en op een derde die op dit detailniveau bijkomt: de assessor die het onderwerp het beste kent, scoort strenger, omdat hij weet wat er nog meer mogelijk is.</w:t>
      </w:r>
    </w:p>
    <w:p>
      <w:r>
        <w:br w:type="page"/>
      </w:r>
    </w:p>
    <w:p>
      <w:pPr>
        <w:pStyle w:val="Heading1"/>
        <w:spacing w:after="200" w:before="420"/>
      </w:pPr>
      <w:r>
        <w:rPr>
          <w:rFonts w:ascii="Cambria" w:cs="Cambria" w:eastAsia="Cambria" w:hAnsi="Cambria"/>
          <w:b/>
          <w:bCs/>
          <w:color w:val="1B4A48"/>
          <w:sz w:val="34"/>
          <w:szCs w:val="34"/>
        </w:rPr>
        <w:t xml:space="preserve">8. Van score naar roadmap</w:t>
      </w:r>
    </w:p>
    <w:p>
      <w:pPr>
        <w:spacing w:after="140" w:line="288"/>
      </w:pPr>
      <w:r>
        <w:rPr>
          <w:rFonts w:ascii="Calibri" w:cs="Calibri" w:eastAsia="Calibri" w:hAnsi="Calibri"/>
          <w:color w:val="0E1A1C"/>
          <w:sz w:val="21"/>
          <w:szCs w:val="21"/>
        </w:rPr>
        <w:t xml:space="preserve">Een DCAM-uitkomst is een diagnose, geen behandelplan. De vertaalslag is dezelfde als in deel 11, met één verschil: het detailniveau maakt hem preciezer en verleidelijker om over te slaan.</w:t>
      </w:r>
    </w:p>
    <w:p>
      <w:pPr>
        <w:pStyle w:val="Heading3"/>
        <w:spacing w:after="100" w:before="240"/>
      </w:pPr>
      <w:r>
        <w:rPr>
          <w:rFonts w:ascii="Calibri" w:cs="Calibri" w:eastAsia="Calibri" w:hAnsi="Calibri"/>
          <w:b/>
          <w:bCs/>
          <w:color w:val="3F7D74"/>
          <w:sz w:val="22"/>
          <w:szCs w:val="22"/>
        </w:rPr>
        <w:t xml:space="preserve">De verleiding</w:t>
      </w:r>
    </w:p>
    <w:p>
      <w:pPr>
        <w:spacing w:after="140" w:line="288"/>
      </w:pPr>
      <w:r>
        <w:rPr>
          <w:rFonts w:ascii="Calibri" w:cs="Calibri" w:eastAsia="Calibri" w:hAnsi="Calibri"/>
          <w:color w:val="0E1A1C"/>
          <w:sz w:val="21"/>
          <w:szCs w:val="21"/>
        </w:rPr>
        <w:t xml:space="preserve">Met sub-capabilityscores ligt een roadmap voor de hand die simpelweg de laagste scores aanpakt. Dat is bijna altijd fout, om drie redenen: de laagste score is niet noodzakelijk het grootste risico, sommige sub-capabilities zijn pas te verbeteren nadat andere op orde zijn, en het niveau dat de organisatie nodig heeft, verschilt per component.</w:t>
      </w:r>
    </w:p>
    <w:p>
      <w:pPr>
        <w:pStyle w:val="Heading3"/>
        <w:spacing w:after="100" w:before="240"/>
      </w:pPr>
      <w:r>
        <w:rPr>
          <w:rFonts w:ascii="Calibri" w:cs="Calibri" w:eastAsia="Calibri" w:hAnsi="Calibri"/>
          <w:b/>
          <w:bCs/>
          <w:color w:val="3F7D74"/>
          <w:sz w:val="22"/>
          <w:szCs w:val="22"/>
        </w:rPr>
        <w:t xml:space="preserve">De werkbare vertaalslag</w:t>
      </w:r>
    </w:p>
    <w:p>
      <w:pPr>
        <w:pStyle w:val="ListParagraph"/>
        <w:numPr>
          <w:ilvl w:val="0"/>
          <w:numId w:val="5"/>
        </w:numPr>
        <w:spacing w:after="70" w:line="280"/>
      </w:pPr>
      <w:r>
        <w:rPr>
          <w:rFonts w:ascii="Calibri" w:cs="Calibri" w:eastAsia="Calibri" w:hAnsi="Calibri"/>
          <w:color w:val="0E1A1C"/>
          <w:sz w:val="21"/>
          <w:szCs w:val="21"/>
        </w:rPr>
        <w:t xml:space="preserve">Bepaal per component het benodigde niveau, afgeleid van wat de organisatie moet kunnen — niet van wat mogelijk is.</w:t>
      </w:r>
    </w:p>
    <w:p>
      <w:pPr>
        <w:pStyle w:val="ListParagraph"/>
        <w:numPr>
          <w:ilvl w:val="0"/>
          <w:numId w:val="5"/>
        </w:numPr>
        <w:spacing w:after="70" w:line="280"/>
      </w:pPr>
      <w:r>
        <w:rPr>
          <w:rFonts w:ascii="Calibri" w:cs="Calibri" w:eastAsia="Calibri" w:hAnsi="Calibri"/>
          <w:color w:val="0E1A1C"/>
          <w:sz w:val="21"/>
          <w:szCs w:val="21"/>
        </w:rPr>
        <w:t xml:space="preserve">Bereken het gat tussen huidig en benodigd niveau per component, niet per sub-capability.</w:t>
      </w:r>
    </w:p>
    <w:p>
      <w:pPr>
        <w:pStyle w:val="ListParagraph"/>
        <w:numPr>
          <w:ilvl w:val="0"/>
          <w:numId w:val="5"/>
        </w:numPr>
        <w:spacing w:after="70" w:line="280"/>
      </w:pPr>
      <w:r>
        <w:rPr>
          <w:rFonts w:ascii="Calibri" w:cs="Calibri" w:eastAsia="Calibri" w:hAnsi="Calibri"/>
          <w:color w:val="0E1A1C"/>
          <w:sz w:val="21"/>
          <w:szCs w:val="21"/>
        </w:rPr>
        <w:t xml:space="preserve">Breng de afhankelijkheden in kaart: welke sub-capability moet eerst?</w:t>
      </w:r>
    </w:p>
    <w:p>
      <w:pPr>
        <w:pStyle w:val="ListParagraph"/>
        <w:numPr>
          <w:ilvl w:val="0"/>
          <w:numId w:val="5"/>
        </w:numPr>
        <w:spacing w:after="70" w:line="280"/>
      </w:pPr>
      <w:r>
        <w:rPr>
          <w:rFonts w:ascii="Calibri" w:cs="Calibri" w:eastAsia="Calibri" w:hAnsi="Calibri"/>
          <w:color w:val="0E1A1C"/>
          <w:sz w:val="21"/>
          <w:szCs w:val="21"/>
        </w:rPr>
        <w:t xml:space="preserve">Weeg het risico: welk gat doet het meeste pijn bij de eerstvolgende toezichtsvraag?</w:t>
      </w:r>
    </w:p>
    <w:p>
      <w:pPr>
        <w:pStyle w:val="ListParagraph"/>
        <w:numPr>
          <w:ilvl w:val="0"/>
          <w:numId w:val="5"/>
        </w:numPr>
        <w:spacing w:after="70" w:line="280"/>
      </w:pPr>
      <w:r>
        <w:rPr>
          <w:rFonts w:ascii="Calibri" w:cs="Calibri" w:eastAsia="Calibri" w:hAnsi="Calibri"/>
          <w:color w:val="0E1A1C"/>
          <w:sz w:val="21"/>
          <w:szCs w:val="21"/>
        </w:rPr>
        <w:t xml:space="preserve">Stel drie scenario’s op met kosten en doorlooptijd, zoals in deel 11.</w:t>
      </w:r>
    </w:p>
    <w:p>
      <w:pPr>
        <w:pStyle w:val="ListParagraph"/>
        <w:numPr>
          <w:ilvl w:val="0"/>
          <w:numId w:val="5"/>
        </w:numPr>
        <w:spacing w:after="70" w:line="280"/>
      </w:pPr>
      <w:r>
        <w:rPr>
          <w:rFonts w:ascii="Calibri" w:cs="Calibri" w:eastAsia="Calibri" w:hAnsi="Calibri"/>
          <w:color w:val="0E1A1C"/>
          <w:sz w:val="21"/>
          <w:szCs w:val="21"/>
        </w:rPr>
        <w:t xml:space="preserve">Laat de opdrachtgever kiezen, en leg vast wat er bewust níét gebeurt.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Het benodigde niveau</w:t>
            </w:r>
          </w:p>
          <w:p>
            <w:pPr>
              <w:spacing w:after="60" w:line="280"/>
            </w:pPr>
            <w:r>
              <w:rPr>
                <w:rFonts w:ascii="Calibri" w:cs="Calibri" w:eastAsia="Calibri" w:hAnsi="Calibri"/>
                <w:color w:val="0E1A1C"/>
                <w:sz w:val="20"/>
                <w:szCs w:val="20"/>
              </w:rPr>
              <w:t xml:space="preserve">Voor de meeste componenten is het hoogste niveau niet nodig en niet betaalbaar. Bepaal per component wat de organisatie moet kunnen en stel dát als doel. Een assessment dat overal het maximum als ambitie neemt, produceert een roadmap van tien jaar die na achttien maanden wordt gestaakt — en dan heet DCAM de boosdoener.</w:t>
            </w:r>
          </w:p>
        </w:tc>
      </w:tr>
    </w:tbl>
    <w:p>
      <w:pPr>
        <w:pStyle w:val="Heading1"/>
        <w:spacing w:after="200" w:before="420"/>
      </w:pPr>
      <w:r>
        <w:rPr>
          <w:rFonts w:ascii="Cambria" w:cs="Cambria" w:eastAsia="Cambria" w:hAnsi="Cambria"/>
          <w:b/>
          <w:bCs/>
          <w:color w:val="1B4A48"/>
          <w:sz w:val="34"/>
          <w:szCs w:val="34"/>
        </w:rPr>
        <w:t xml:space="preserve">9. Herhaalmeting</w:t>
      </w:r>
    </w:p>
    <w:p>
      <w:pPr>
        <w:spacing w:after="140" w:line="288"/>
      </w:pPr>
      <w:r>
        <w:rPr>
          <w:rFonts w:ascii="Calibri" w:cs="Calibri" w:eastAsia="Calibri" w:hAnsi="Calibri"/>
          <w:color w:val="0E1A1C"/>
          <w:sz w:val="21"/>
          <w:szCs w:val="21"/>
        </w:rPr>
        <w:t xml:space="preserve">De hele waarde van DCAM zit in de tweede meting. Vier voorwaarden maken die vergelijking betekenisvol.</w:t>
      </w:r>
    </w:p>
    <w:p>
      <w:pPr>
        <w:pStyle w:val="ListParagraph"/>
        <w:numPr>
          <w:ilvl w:val="0"/>
          <w:numId w:val="3"/>
        </w:numPr>
        <w:spacing w:after="70" w:line="280"/>
      </w:pPr>
      <w:r>
        <w:rPr>
          <w:rFonts w:ascii="Calibri" w:cs="Calibri" w:eastAsia="Calibri" w:hAnsi="Calibri"/>
          <w:color w:val="0E1A1C"/>
          <w:sz w:val="21"/>
          <w:szCs w:val="21"/>
        </w:rPr>
        <w:t xml:space="preserve">Dezelfde scope, of een expliciet gedocumenteerd verschil. Een uitgebreide scope die als groei wordt gepresenteerd, is misleiding.</w:t>
      </w:r>
    </w:p>
    <w:p>
      <w:pPr>
        <w:pStyle w:val="ListParagraph"/>
        <w:numPr>
          <w:ilvl w:val="0"/>
          <w:numId w:val="3"/>
        </w:numPr>
        <w:spacing w:after="70" w:line="280"/>
      </w:pPr>
      <w:r>
        <w:rPr>
          <w:rFonts w:ascii="Calibri" w:cs="Calibri" w:eastAsia="Calibri" w:hAnsi="Calibri"/>
          <w:color w:val="0E1A1C"/>
          <w:sz w:val="21"/>
          <w:szCs w:val="21"/>
        </w:rPr>
        <w:t xml:space="preserve">Dezelfde scoringsdiscipline. Als de eerste meting door een streng team is gedaan en de tweede door een mild team, meet je het team.</w:t>
      </w:r>
    </w:p>
    <w:p>
      <w:pPr>
        <w:pStyle w:val="ListParagraph"/>
        <w:numPr>
          <w:ilvl w:val="0"/>
          <w:numId w:val="3"/>
        </w:numPr>
        <w:spacing w:after="70" w:line="280"/>
      </w:pPr>
      <w:r>
        <w:rPr>
          <w:rFonts w:ascii="Calibri" w:cs="Calibri" w:eastAsia="Calibri" w:hAnsi="Calibri"/>
          <w:color w:val="0E1A1C"/>
          <w:sz w:val="21"/>
          <w:szCs w:val="21"/>
        </w:rPr>
        <w:t xml:space="preserve">De kalibratienotitie van de eerste meting, gebruikt bij de tweede. Zonder die notitie is het verschil niet te duiden.</w:t>
      </w:r>
    </w:p>
    <w:p>
      <w:pPr>
        <w:pStyle w:val="ListParagraph"/>
        <w:numPr>
          <w:ilvl w:val="0"/>
          <w:numId w:val="3"/>
        </w:numPr>
        <w:spacing w:after="70" w:line="280"/>
      </w:pPr>
      <w:r>
        <w:rPr>
          <w:rFonts w:ascii="Calibri" w:cs="Calibri" w:eastAsia="Calibri" w:hAnsi="Calibri"/>
          <w:color w:val="0E1A1C"/>
          <w:sz w:val="21"/>
          <w:szCs w:val="21"/>
        </w:rPr>
        <w:t xml:space="preserve">Dezelfde bewijslat. Een tweede meting waarin uitspraken zwaarder gaan wegen, laat groei zien die er niet is.</w:t>
      </w:r>
    </w:p>
    <w:p>
      <w:pPr>
        <w:spacing w:after="140" w:line="288"/>
      </w:pPr>
      <w:r>
        <w:rPr>
          <w:rFonts w:ascii="Calibri" w:cs="Calibri" w:eastAsia="Calibri" w:hAnsi="Calibri"/>
          <w:color w:val="0E1A1C"/>
          <w:sz w:val="21"/>
          <w:szCs w:val="21"/>
        </w:rPr>
        <w:t xml:space="preserve">De verstandige afspraak bij de eerste meting: leg vast hoe de tweede wordt uitgevoerd, inclusief wie er assessor is. Dat voelt vroeg en het is de enige manier om over twee jaar een uitspraak te doen die standhoudt.</w:t>
      </w:r>
    </w:p>
    <w:p>
      <w:pPr>
        <w:pStyle w:val="Heading1"/>
        <w:spacing w:after="200" w:before="420"/>
      </w:pPr>
      <w:r>
        <w:rPr>
          <w:rFonts w:ascii="Cambria" w:cs="Cambria" w:eastAsia="Cambria" w:hAnsi="Cambria"/>
          <w:b/>
          <w:bCs/>
          <w:color w:val="1B4A48"/>
          <w:sz w:val="34"/>
          <w:szCs w:val="34"/>
        </w:rPr>
        <w:t xml:space="preserve">10. Het examen</w:t>
      </w:r>
    </w:p>
    <w:p>
      <w:pPr>
        <w:spacing w:after="140" w:line="288"/>
      </w:pPr>
      <w:r>
        <w:rPr>
          <w:rFonts w:ascii="Calibri" w:cs="Calibri" w:eastAsia="Calibri" w:hAnsi="Calibri"/>
          <w:color w:val="0E1A1C"/>
          <w:sz w:val="21"/>
          <w:szCs w:val="21"/>
        </w:rPr>
        <w:t xml:space="preserve">Het DCAM-examen wordt door de EDM Association afgenomen en is beschikbaar voor leden. Opzet, vraagaantal, tijdsduur en slaagpercentage vind je in het Knowledge Portal; controleer die vóór inschrijving, want ze wijzigen.</w:t>
      </w:r>
    </w:p>
    <w:p>
      <w:pPr>
        <w:pStyle w:val="Heading3"/>
        <w:spacing w:after="100" w:before="240"/>
      </w:pPr>
      <w:r>
        <w:rPr>
          <w:rFonts w:ascii="Calibri" w:cs="Calibri" w:eastAsia="Calibri" w:hAnsi="Calibri"/>
          <w:b/>
          <w:bCs/>
          <w:color w:val="3F7D74"/>
          <w:sz w:val="22"/>
          <w:szCs w:val="22"/>
        </w:rPr>
        <w:t xml:space="preserve">Wat de voorbereiding vraagt</w:t>
      </w:r>
    </w:p>
    <w:p>
      <w:pPr>
        <w:pStyle w:val="ListParagraph"/>
        <w:numPr>
          <w:ilvl w:val="0"/>
          <w:numId w:val="3"/>
        </w:numPr>
        <w:spacing w:after="70" w:line="280"/>
      </w:pPr>
      <w:r>
        <w:rPr>
          <w:rFonts w:ascii="Calibri" w:cs="Calibri" w:eastAsia="Calibri" w:hAnsi="Calibri"/>
          <w:color w:val="0E1A1C"/>
          <w:sz w:val="21"/>
          <w:szCs w:val="21"/>
        </w:rPr>
        <w:t xml:space="preserve">De structuur van het framework moet zitten: welke componenten er zijn en wat er in elk thuishoort. Dat is memoriseerwerk en het is de basis.</w:t>
      </w:r>
    </w:p>
    <w:p>
      <w:pPr>
        <w:pStyle w:val="ListParagraph"/>
        <w:numPr>
          <w:ilvl w:val="0"/>
          <w:numId w:val="3"/>
        </w:numPr>
        <w:spacing w:after="70" w:line="280"/>
      </w:pPr>
      <w:r>
        <w:rPr>
          <w:rFonts w:ascii="Calibri" w:cs="Calibri" w:eastAsia="Calibri" w:hAnsi="Calibri"/>
          <w:color w:val="0E1A1C"/>
          <w:sz w:val="21"/>
          <w:szCs w:val="21"/>
        </w:rPr>
        <w:t xml:space="preserve">De scoringssystematiek moet je kunnen toepassen op een casus, niet alleen kunnen benoemen.</w:t>
      </w:r>
    </w:p>
    <w:p>
      <w:pPr>
        <w:pStyle w:val="ListParagraph"/>
        <w:numPr>
          <w:ilvl w:val="0"/>
          <w:numId w:val="3"/>
        </w:numPr>
        <w:spacing w:after="70" w:line="280"/>
      </w:pPr>
      <w:r>
        <w:rPr>
          <w:rFonts w:ascii="Calibri" w:cs="Calibri" w:eastAsia="Calibri" w:hAnsi="Calibri"/>
          <w:color w:val="0E1A1C"/>
          <w:sz w:val="21"/>
          <w:szCs w:val="21"/>
        </w:rPr>
        <w:t xml:space="preserve">De vragen zijn overwegend toepassingsgericht: gegeven deze situatie, welke score en waarom. Dat lijkt op de scenariovragen uit deel 20.</w:t>
      </w:r>
    </w:p>
    <w:p>
      <w:pPr>
        <w:pStyle w:val="ListParagraph"/>
        <w:numPr>
          <w:ilvl w:val="0"/>
          <w:numId w:val="3"/>
        </w:numPr>
        <w:spacing w:after="70" w:line="280"/>
      </w:pPr>
      <w:r>
        <w:rPr>
          <w:rFonts w:ascii="Calibri" w:cs="Calibri" w:eastAsia="Calibri" w:hAnsi="Calibri"/>
          <w:color w:val="0E1A1C"/>
          <w:sz w:val="21"/>
          <w:szCs w:val="21"/>
        </w:rPr>
        <w:t xml:space="preserve">Je eigen assessmentervaring is de beste voorbereiding. Wie één volledig assessment heeft meegedraaid, herkent de vraagstelling.</w:t>
      </w:r>
    </w:p>
    <w:p>
      <w:pPr>
        <w:spacing w:after="140" w:line="288"/>
      </w:pPr>
      <w:r>
        <w:rPr>
          <w:rFonts w:ascii="Calibri" w:cs="Calibri" w:eastAsia="Calibri" w:hAnsi="Calibri"/>
          <w:color w:val="0E1A1C"/>
          <w:sz w:val="21"/>
          <w:szCs w:val="21"/>
        </w:rPr>
        <w:t xml:space="preserve">Plan het examen ná het assessment uit dit deel, niet ervoor. De praktijkervaring maakt het verschil, en dat geldt op dit niveau sterker dan bij het CDMP.</w:t>
      </w:r>
    </w:p>
    <w:p>
      <w:pPr>
        <w:pStyle w:val="Heading1"/>
        <w:spacing w:after="200" w:before="420"/>
      </w:pPr>
      <w:r>
        <w:rPr>
          <w:rFonts w:ascii="Cambria" w:cs="Cambria" w:eastAsia="Cambria" w:hAnsi="Cambria"/>
          <w:b/>
          <w:bCs/>
          <w:color w:val="1B4A48"/>
          <w:sz w:val="34"/>
          <w:szCs w:val="34"/>
        </w:rPr>
        <w:t xml:space="preserve">11. Vijf fouten op dit niveau</w:t>
      </w:r>
    </w:p>
    <w:p>
      <w:pPr>
        <w:pStyle w:val="ListParagraph"/>
        <w:numPr>
          <w:ilvl w:val="0"/>
          <w:numId w:val="6"/>
        </w:numPr>
        <w:spacing w:after="70" w:line="280"/>
      </w:pPr>
      <w:r>
        <w:rPr>
          <w:rFonts w:ascii="Calibri" w:cs="Calibri" w:eastAsia="Calibri" w:hAnsi="Calibri"/>
          <w:color w:val="0E1A1C"/>
          <w:sz w:val="21"/>
          <w:szCs w:val="21"/>
        </w:rPr>
        <w:t xml:space="preserve">Op componentniveau scoren en de sub-capabilities overslaan.</w:t>
      </w:r>
    </w:p>
    <w:p>
      <w:pPr>
        <w:pStyle w:val="ListParagraph"/>
        <w:numPr>
          <w:ilvl w:val="0"/>
          <w:numId w:val="6"/>
        </w:numPr>
        <w:spacing w:after="70" w:line="280"/>
      </w:pPr>
      <w:r>
        <w:rPr>
          <w:rFonts w:ascii="Calibri" w:cs="Calibri" w:eastAsia="Calibri" w:hAnsi="Calibri"/>
          <w:color w:val="0E1A1C"/>
          <w:sz w:val="21"/>
          <w:szCs w:val="21"/>
        </w:rPr>
        <w:t xml:space="preserve">Eén artefact als bewijs gebruiken voor meerdere sub-capabilities.</w:t>
      </w:r>
    </w:p>
    <w:p>
      <w:pPr>
        <w:pStyle w:val="ListParagraph"/>
        <w:numPr>
          <w:ilvl w:val="0"/>
          <w:numId w:val="6"/>
        </w:numPr>
        <w:spacing w:after="70" w:line="280"/>
      </w:pPr>
      <w:r>
        <w:rPr>
          <w:rFonts w:ascii="Calibri" w:cs="Calibri" w:eastAsia="Calibri" w:hAnsi="Calibri"/>
          <w:color w:val="0E1A1C"/>
          <w:sz w:val="21"/>
          <w:szCs w:val="21"/>
        </w:rPr>
        <w:t xml:space="preserve">Bij twijfel de middelste score kiezen.</w:t>
      </w:r>
    </w:p>
    <w:p>
      <w:pPr>
        <w:pStyle w:val="ListParagraph"/>
        <w:numPr>
          <w:ilvl w:val="0"/>
          <w:numId w:val="6"/>
        </w:numPr>
        <w:spacing w:after="70" w:line="280"/>
      </w:pPr>
      <w:r>
        <w:rPr>
          <w:rFonts w:ascii="Calibri" w:cs="Calibri" w:eastAsia="Calibri" w:hAnsi="Calibri"/>
          <w:color w:val="0E1A1C"/>
          <w:sz w:val="21"/>
          <w:szCs w:val="21"/>
        </w:rPr>
        <w:t xml:space="preserve">De roadmap laten volgen uit de laagste scores in plaats van uit het benodigde niveau.</w:t>
      </w:r>
    </w:p>
    <w:p>
      <w:pPr>
        <w:pStyle w:val="ListParagraph"/>
        <w:numPr>
          <w:ilvl w:val="0"/>
          <w:numId w:val="6"/>
        </w:numPr>
        <w:spacing w:after="70" w:line="280"/>
      </w:pPr>
      <w:r>
        <w:rPr>
          <w:rFonts w:ascii="Calibri" w:cs="Calibri" w:eastAsia="Calibri" w:hAnsi="Calibri"/>
          <w:color w:val="0E1A1C"/>
          <w:sz w:val="21"/>
          <w:szCs w:val="21"/>
        </w:rPr>
        <w:t xml:space="preserve">De tweede meting uitvoeren zonder de kalibratienotitie van de eerste.</w:t>
      </w:r>
    </w:p>
    <w:p>
      <w:pPr>
        <w:pStyle w:val="Heading1"/>
        <w:spacing w:after="200" w:before="420"/>
      </w:pPr>
      <w:r>
        <w:rPr>
          <w:rFonts w:ascii="Cambria" w:cs="Cambria" w:eastAsia="Cambria" w:hAnsi="Cambria"/>
          <w:b/>
          <w:bCs/>
          <w:color w:val="1B4A48"/>
          <w:sz w:val="34"/>
          <w:szCs w:val="34"/>
        </w:rPr>
        <w:t xml:space="preserve">12. Examenrelevantie</w:t>
      </w:r>
    </w:p>
    <w:p>
      <w:pPr>
        <w:spacing w:after="140" w:line="288"/>
      </w:pPr>
      <w:r>
        <w:rPr>
          <w:rFonts w:ascii="Calibri" w:cs="Calibri" w:eastAsia="Calibri" w:hAnsi="Calibri"/>
          <w:color w:val="0E1A1C"/>
          <w:sz w:val="21"/>
          <w:szCs w:val="21"/>
        </w:rPr>
        <w:t xml:space="preserve">Dit deel bereidt voor op het DCAM-examen van de EDM Association. Voor het CDMP raakt het het datamanagementproces en data governance, beide op de 80%-band.</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DCAM v3-framework, de bijbehorende training en de examenvoorbereiding, uitsluitend beschikbaar voor leden van de EDM Association via het Knowledge Portal. Je hebt eigen toegang nodig.</w:t>
            </w:r>
          </w:p>
          <w:p>
            <w:pPr>
              <w:spacing w:after="60" w:line="280"/>
            </w:pPr>
            <w:r>
              <w:rPr>
                <w:rFonts w:ascii="Calibri" w:cs="Calibri" w:eastAsia="Calibri" w:hAnsi="Calibri"/>
                <w:color w:val="0E1A1C"/>
                <w:sz w:val="20"/>
                <w:szCs w:val="20"/>
              </w:rPr>
              <w:t xml:space="preserve">Voor de inhoudelijke diepgang achter de capabilities: de DAMA-DMBOK2 Revised Edition. De twee vullen elkaar aan.</w:t>
            </w:r>
          </w:p>
          <w:p>
            <w:pPr>
              <w:spacing w:after="60" w:line="280"/>
            </w:pPr>
            <w:r>
              <w:rPr>
                <w:rFonts w:ascii="Calibri" w:cs="Calibri" w:eastAsia="Calibri" w:hAnsi="Calibri"/>
                <w:color w:val="0E1A1C"/>
                <w:sz w:val="20"/>
                <w:szCs w:val="20"/>
              </w:rPr>
              <w:t xml:space="preserve">Deze reader reproduceert geen enkel onderdeel van het DCAM-framework en vervangt het niet. Ductus is geen geaccrediteerde DCAM-aanbieder en deze cursus is niet erkend door de EDM Association.</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24 — DCAM v3 in de praktijk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DCAM v3 in de praktijk — Deelnemersreader</dc:title>
  <dc:creator>Ductus B.V.</dc:creator>
  <dc:description>Cursusmateriaal datamanagement, data-analyse en data governance</dc:description>
  <cp:lastModifiedBy>Un-named</cp:lastModifiedBy>
  <cp:revision>1</cp:revision>
  <dcterms:created xsi:type="dcterms:W3CDTF">2026-08-05T14:04:34.516Z</dcterms:created>
  <dcterms:modified xsi:type="dcterms:W3CDTF">2026-08-05T14:04:34.530Z</dcterms:modified>
</cp:coreProperties>
</file>

<file path=docProps/custom.xml><?xml version="1.0" encoding="utf-8"?>
<Properties xmlns="http://schemas.openxmlformats.org/officeDocument/2006/custom-properties" xmlns:vt="http://schemas.openxmlformats.org/officeDocument/2006/docPropsVTypes"/>
</file>