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3 · MEESTERSCHAP · DEEL 24</w:t>
      </w:r>
    </w:p>
    <w:p>
      <w:pPr>
        <w:spacing w:after="120"/>
      </w:pPr>
      <w:r>
        <w:rPr>
          <w:rFonts w:ascii="Cambria" w:cs="Cambria" w:eastAsia="Cambria" w:hAnsi="Cambria"/>
          <w:b/>
          <w:bCs/>
          <w:color w:val="0E1A1C"/>
          <w:sz w:val="56"/>
          <w:szCs w:val="56"/>
        </w:rPr>
        <w:t xml:space="preserve">DCAM v3 in de praktijk</w:t>
      </w:r>
    </w:p>
    <w:p>
      <w:pPr>
        <w:spacing w:after="300"/>
      </w:pPr>
      <w:r>
        <w:rPr>
          <w:rFonts w:ascii="Calibri" w:cs="Calibri" w:eastAsia="Calibri" w:hAnsi="Calibri"/>
          <w:color w:val="5F7375"/>
          <w:sz w:val="26"/>
          <w:szCs w:val="26"/>
        </w:rPr>
        <w:t xml:space="preserve">Werkboek met opdrachten</w:t>
      </w:r>
    </w:p>
    <w:p>
      <w:pPr>
        <w:spacing w:after="40"/>
      </w:pPr>
      <w:r>
        <w:rPr>
          <w:rFonts w:ascii="Consolas" w:cs="Consolas" w:eastAsia="Consolas" w:hAnsi="Consolas"/>
          <w:color w:val="5F7375"/>
          <w:sz w:val="17"/>
          <w:szCs w:val="17"/>
        </w:rPr>
        <w:t xml:space="preserve">OPDRACHTEN  </w:t>
      </w:r>
      <w:r>
        <w:rPr>
          <w:rFonts w:ascii="Calibri" w:cs="Calibri" w:eastAsia="Calibri" w:hAnsi="Calibri"/>
          <w:b/>
          <w:bCs/>
          <w:color w:val="0E1A1C"/>
          <w:sz w:val="20"/>
          <w:szCs w:val="20"/>
        </w:rPr>
        <w:t xml:space="preserve">7, plus zelftoets van 12 vragen</w:t>
      </w:r>
    </w:p>
    <w:p>
      <w:pPr>
        <w:spacing w:after="40"/>
      </w:pPr>
      <w:r>
        <w:rPr>
          <w:rFonts w:ascii="Consolas" w:cs="Consolas" w:eastAsia="Consolas" w:hAnsi="Consolas"/>
          <w:color w:val="5F7375"/>
          <w:sz w:val="17"/>
          <w:szCs w:val="17"/>
        </w:rPr>
        <w:t xml:space="preserve">TIJD  </w:t>
      </w:r>
      <w:r>
        <w:rPr>
          <w:rFonts w:ascii="Calibri" w:cs="Calibri" w:eastAsia="Calibri" w:hAnsi="Calibri"/>
          <w:b/>
          <w:bCs/>
          <w:color w:val="0E1A1C"/>
          <w:sz w:val="20"/>
          <w:szCs w:val="20"/>
        </w:rPr>
        <w:t xml:space="preserve">± 10 uur (6 uur klassikaal, 4 uur zelfstandig)</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Meridiaan Pensioen N.V.</w:t>
      </w:r>
    </w:p>
    <w:p>
      <w:pPr>
        <w:spacing w:after="40"/>
      </w:pPr>
      <w:r>
        <w:rPr>
          <w:rFonts w:ascii="Consolas" w:cs="Consolas" w:eastAsia="Consolas" w:hAnsi="Consolas"/>
          <w:color w:val="5F7375"/>
          <w:sz w:val="17"/>
          <w:szCs w:val="17"/>
        </w:rPr>
        <w:t xml:space="preserve">MEENEMEN  </w:t>
      </w:r>
      <w:r>
        <w:rPr>
          <w:rFonts w:ascii="Calibri" w:cs="Calibri" w:eastAsia="Calibri" w:hAnsi="Calibri"/>
          <w:b/>
          <w:bCs/>
          <w:color w:val="0E1A1C"/>
          <w:sz w:val="20"/>
          <w:szCs w:val="20"/>
        </w:rPr>
        <w:t xml:space="preserve">Je eigen DCAM-toegang via het Knowledge Portal, en het assessment uit deel 11</w:t>
      </w:r>
    </w:p>
    <w:p>
      <w:pPr>
        <w:spacing w:after="3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Hoe je dit werkboek gebruikt</w:t>
      </w:r>
    </w:p>
    <w:p>
      <w:pPr>
        <w:spacing w:after="140" w:line="288"/>
      </w:pPr>
      <w:r>
        <w:rPr>
          <w:rFonts w:ascii="Calibri" w:cs="Calibri" w:eastAsia="Calibri" w:hAnsi="Calibri"/>
          <w:color w:val="0E1A1C"/>
          <w:sz w:val="21"/>
          <w:szCs w:val="21"/>
        </w:rPr>
        <w:t xml:space="preserve">Voor dit deel heb je eigen toegang tot het DCAM-framework nodig via het Knowledge Portal van de EDM Association. Zonder die toegang kun je de opdrachten niet uitvoeren; regel hem vóór de sessie.</w:t>
      </w:r>
    </w:p>
    <w:p>
      <w:pPr>
        <w:spacing w:after="140" w:line="288"/>
      </w:pPr>
      <w:r>
        <w:rPr>
          <w:rFonts w:ascii="Calibri" w:cs="Calibri" w:eastAsia="Calibri" w:hAnsi="Calibri"/>
          <w:color w:val="0E1A1C"/>
          <w:sz w:val="21"/>
          <w:szCs w:val="21"/>
        </w:rPr>
        <w:t xml:space="preserve">Opdracht 1 en 2 maak je vooraf. Opdracht 3 tot en met 6 doen we klassikaal in twee blokken van drie uur — dit is samen met deel 27 het langste deel van niveau 3.</w:t>
      </w:r>
    </w:p>
    <w:p>
      <w:pPr>
        <w:spacing w:after="140" w:line="288"/>
      </w:pPr>
      <w:r>
        <w:rPr>
          <w:rFonts w:ascii="Calibri" w:cs="Calibri" w:eastAsia="Calibri" w:hAnsi="Calibri"/>
          <w:color w:val="0E1A1C"/>
          <w:sz w:val="21"/>
          <w:szCs w:val="21"/>
        </w:rPr>
        <w:t xml:space="preserve">Je werkt met je eigen assessmentbevindingen uit deel 11 en met alles wat je in niveau 3 over de gefuseerde organisatie hebt verzameld. Neem dat materiaal mee.</w:t>
      </w:r>
    </w:p>
    <w:p>
      <w:pPr>
        <w:spacing w:after="120"/>
      </w:pPr>
      <w:r>
        <w:t xml:space="preserve"/>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900"/>
        <w:gridCol w:w="1700"/>
        <w:gridCol w:w="1900"/>
        <w:gridCol w:w="2520"/>
      </w:tblGrid>
      <w:tr>
        <w:trPr>
          <w:tblHeader/>
        </w:trPr>
        <w:tc>
          <w:tcPr>
            <w:tcW w:type="dxa" w:w="2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Opdracht</w:t>
            </w:r>
          </w:p>
        </w:tc>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Wanneer</w:t>
            </w:r>
          </w:p>
        </w:tc>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25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 Scope bepalen</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Vooraf</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50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 Respondentenplan</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Vooraf</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45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 Scoren op twee componenten</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90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 Bewijs op detailniveau</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60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 Teamkalibratie</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Groep</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75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6. Van score naar roadmap</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60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7. De assessmentrapportage</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Achteraf</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90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Zelftoets</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Achteraf</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25 min</w:t>
            </w:r>
          </w:p>
        </w:tc>
      </w:tr>
    </w:tbl>
    <w:p>
      <w:r>
        <w:br w:type="page"/>
      </w:r>
    </w:p>
    <w:p>
      <w:pPr>
        <w:spacing w:after="40" w:before="200"/>
      </w:pPr>
      <w:r>
        <w:rPr>
          <w:rFonts w:ascii="Consolas" w:cs="Consolas" w:eastAsia="Consolas" w:hAnsi="Consolas"/>
          <w:color w:val="3F7D74"/>
          <w:spacing w:val="40"/>
          <w:sz w:val="17"/>
          <w:szCs w:val="17"/>
        </w:rPr>
        <w:t xml:space="preserve">OPDRACHT 1  ·  50 minuten</w:t>
      </w:r>
    </w:p>
    <w:p>
      <w:pPr>
        <w:spacing w:after="140"/>
      </w:pPr>
      <w:r>
        <w:rPr>
          <w:rFonts w:ascii="Cambria" w:cs="Cambria" w:eastAsia="Cambria" w:hAnsi="Cambria"/>
          <w:b/>
          <w:bCs/>
          <w:color w:val="1B4A48"/>
          <w:sz w:val="30"/>
          <w:szCs w:val="30"/>
        </w:rPr>
        <w:t xml:space="preserve">Scope bepalen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Vaststellen wat je meet, op welk detailniveau, en wat dat betekent voor de vergelijkbaarheid.</w:t>
      </w:r>
    </w:p>
    <w:p>
      <w:pPr>
        <w:pStyle w:val="ListParagraph"/>
        <w:numPr>
          <w:ilvl w:val="0"/>
          <w:numId w:val="2"/>
        </w:numPr>
        <w:spacing w:after="70" w:line="280"/>
      </w:pPr>
      <w:r>
        <w:rPr>
          <w:rFonts w:ascii="Calibri" w:cs="Calibri" w:eastAsia="Calibri" w:hAnsi="Calibri"/>
          <w:color w:val="0E1A1C"/>
          <w:sz w:val="21"/>
          <w:szCs w:val="21"/>
        </w:rPr>
        <w:t xml:space="preserve">De board vraagt om vergelijkbaarheid met de sector en met de eigen organisatie over drie jaar.</w:t>
      </w:r>
    </w:p>
    <w:p>
      <w:pPr>
        <w:pStyle w:val="ListParagraph"/>
        <w:numPr>
          <w:ilvl w:val="0"/>
          <w:numId w:val="2"/>
        </w:numPr>
        <w:spacing w:after="70" w:line="280"/>
      </w:pPr>
      <w:r>
        <w:rPr>
          <w:rFonts w:ascii="Calibri" w:cs="Calibri" w:eastAsia="Calibri" w:hAnsi="Calibri"/>
          <w:color w:val="0E1A1C"/>
          <w:sz w:val="21"/>
          <w:szCs w:val="21"/>
        </w:rPr>
        <w:t xml:space="preserve">Bepaal welke componenten in scope zijn en verantwoord elke uitsluiting.</w:t>
      </w:r>
    </w:p>
    <w:p>
      <w:pPr>
        <w:pStyle w:val="ListParagraph"/>
        <w:numPr>
          <w:ilvl w:val="0"/>
          <w:numId w:val="2"/>
        </w:numPr>
        <w:spacing w:after="70" w:line="280"/>
      </w:pPr>
      <w:r>
        <w:rPr>
          <w:rFonts w:ascii="Calibri" w:cs="Calibri" w:eastAsia="Calibri" w:hAnsi="Calibri"/>
          <w:color w:val="0E1A1C"/>
          <w:sz w:val="21"/>
          <w:szCs w:val="21"/>
        </w:rPr>
        <w:t xml:space="preserve">Bepaal het detailniveau: volledig op sub-capabilityniveau, of gesnoeid.</w:t>
      </w:r>
    </w:p>
    <w:p>
      <w:pPr>
        <w:pStyle w:val="ListParagraph"/>
        <w:numPr>
          <w:ilvl w:val="0"/>
          <w:numId w:val="2"/>
        </w:numPr>
        <w:spacing w:after="70" w:line="280"/>
      </w:pPr>
      <w:r>
        <w:rPr>
          <w:rFonts w:ascii="Calibri" w:cs="Calibri" w:eastAsia="Calibri" w:hAnsi="Calibri"/>
          <w:color w:val="0E1A1C"/>
          <w:sz w:val="21"/>
          <w:szCs w:val="21"/>
        </w:rPr>
        <w:t xml:space="preserve">Beschrijf wat een gesnoeide scope betekent voor de vergelijkbaarheid, in één alinea voor de opdrachtgever.</w:t>
      </w:r>
    </w:p>
    <w:p>
      <w:pPr>
        <w:pStyle w:val="ListParagraph"/>
        <w:numPr>
          <w:ilvl w:val="0"/>
          <w:numId w:val="2"/>
        </w:numPr>
        <w:spacing w:after="70" w:line="280"/>
      </w:pPr>
      <w:r>
        <w:rPr>
          <w:rFonts w:ascii="Calibri" w:cs="Calibri" w:eastAsia="Calibri" w:hAnsi="Calibri"/>
          <w:color w:val="0E1A1C"/>
          <w:sz w:val="21"/>
          <w:szCs w:val="21"/>
        </w:rPr>
        <w:t xml:space="preserve">Schat de doorlooptijd op grond van de fasering uit hoofdstuk 4.</w:t>
      </w:r>
    </w:p>
    <w:p>
      <w:pPr>
        <w:pStyle w:val="ListParagraph"/>
        <w:numPr>
          <w:ilvl w:val="0"/>
          <w:numId w:val="2"/>
        </w:numPr>
        <w:spacing w:after="70" w:line="280"/>
      </w:pPr>
      <w:r>
        <w:rPr>
          <w:rFonts w:ascii="Calibri" w:cs="Calibri" w:eastAsia="Calibri" w:hAnsi="Calibri"/>
          <w:color w:val="0E1A1C"/>
          <w:sz w:val="21"/>
          <w:szCs w:val="21"/>
        </w:rPr>
        <w:t xml:space="preserve">Formuleer je antwoord op de vraag of het in drie weken kan.</w:t>
      </w:r>
    </w:p>
    <w:p>
      <w:pPr>
        <w:pStyle w:val="ListParagraph"/>
        <w:numPr>
          <w:ilvl w:val="0"/>
          <w:numId w:val="2"/>
        </w:numPr>
        <w:spacing w:after="70" w:line="280"/>
      </w:pPr>
      <w:r>
        <w:rPr>
          <w:rFonts w:ascii="Calibri" w:cs="Calibri" w:eastAsia="Calibri" w:hAnsi="Calibri"/>
          <w:color w:val="0E1A1C"/>
          <w:sz w:val="21"/>
          <w:szCs w:val="21"/>
        </w:rPr>
        <w:t xml:space="preserve">Leg vast hoe de herhaalmeting over twee jaar wordt uitgevoerd, inclusief wie assessor is.</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Scopebepaling met uitsluitingen, doorlooptijdschatting, en een vastgelegde afspraak over de herhaalmeting.</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vraag "kan het in drie weken" is geen tempo-vraag maar een scopevraag. Wie het tempo verhoogt in plaats van de scope te bespreken, levert een assessment dat de vergelijkbaarheid niet waarmaakt die het belooft.</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2  ·  45 minuten</w:t>
      </w:r>
    </w:p>
    <w:p>
      <w:pPr>
        <w:spacing w:after="140"/>
      </w:pPr>
      <w:r>
        <w:rPr>
          <w:rFonts w:ascii="Cambria" w:cs="Cambria" w:eastAsia="Cambria" w:hAnsi="Cambria"/>
          <w:b/>
          <w:bCs/>
          <w:color w:val="1B4A48"/>
          <w:sz w:val="30"/>
          <w:szCs w:val="30"/>
        </w:rPr>
        <w:t xml:space="preserve">Respondentenplan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Per component de mensen bereiken die het bewijs kunnen leveren.</w:t>
      </w:r>
    </w:p>
    <w:p>
      <w:pPr>
        <w:pStyle w:val="ListParagraph"/>
        <w:numPr>
          <w:ilvl w:val="0"/>
          <w:numId w:val="2"/>
        </w:numPr>
        <w:spacing w:after="70" w:line="280"/>
      </w:pPr>
      <w:r>
        <w:rPr>
          <w:rFonts w:ascii="Calibri" w:cs="Calibri" w:eastAsia="Calibri" w:hAnsi="Calibri"/>
          <w:color w:val="0E1A1C"/>
          <w:sz w:val="21"/>
          <w:szCs w:val="21"/>
        </w:rPr>
        <w:t xml:space="preserve">Bepaal per component in scope welke rollen je nodig hebt.</w:t>
      </w:r>
    </w:p>
    <w:p>
      <w:pPr>
        <w:pStyle w:val="ListParagraph"/>
        <w:numPr>
          <w:ilvl w:val="0"/>
          <w:numId w:val="2"/>
        </w:numPr>
        <w:spacing w:after="70" w:line="280"/>
      </w:pPr>
      <w:r>
        <w:rPr>
          <w:rFonts w:ascii="Calibri" w:cs="Calibri" w:eastAsia="Calibri" w:hAnsi="Calibri"/>
          <w:color w:val="0E1A1C"/>
          <w:sz w:val="21"/>
          <w:szCs w:val="21"/>
        </w:rPr>
        <w:t xml:space="preserve">Stel per component minimaal drie respondenten voor, met de reden.</w:t>
      </w:r>
    </w:p>
    <w:p>
      <w:pPr>
        <w:pStyle w:val="ListParagraph"/>
        <w:numPr>
          <w:ilvl w:val="0"/>
          <w:numId w:val="2"/>
        </w:numPr>
        <w:spacing w:after="70" w:line="280"/>
      </w:pPr>
      <w:r>
        <w:rPr>
          <w:rFonts w:ascii="Calibri" w:cs="Calibri" w:eastAsia="Calibri" w:hAnsi="Calibri"/>
          <w:color w:val="0E1A1C"/>
          <w:sz w:val="21"/>
          <w:szCs w:val="21"/>
        </w:rPr>
        <w:t xml:space="preserve">Zorg dat er per component minstens één respondent is die niet in het programma gelooft.</w:t>
      </w:r>
    </w:p>
    <w:p>
      <w:pPr>
        <w:pStyle w:val="ListParagraph"/>
        <w:numPr>
          <w:ilvl w:val="0"/>
          <w:numId w:val="2"/>
        </w:numPr>
        <w:spacing w:after="70" w:line="280"/>
      </w:pPr>
      <w:r>
        <w:rPr>
          <w:rFonts w:ascii="Calibri" w:cs="Calibri" w:eastAsia="Calibri" w:hAnsi="Calibri"/>
          <w:color w:val="0E1A1C"/>
          <w:sz w:val="21"/>
          <w:szCs w:val="21"/>
        </w:rPr>
        <w:t xml:space="preserve">Bepaal welke documenten je vooraf opvraagt en van wie.</w:t>
      </w:r>
    </w:p>
    <w:p>
      <w:pPr>
        <w:pStyle w:val="ListParagraph"/>
        <w:numPr>
          <w:ilvl w:val="0"/>
          <w:numId w:val="2"/>
        </w:numPr>
        <w:spacing w:after="70" w:line="280"/>
      </w:pPr>
      <w:r>
        <w:rPr>
          <w:rFonts w:ascii="Calibri" w:cs="Calibri" w:eastAsia="Calibri" w:hAnsi="Calibri"/>
          <w:color w:val="0E1A1C"/>
          <w:sz w:val="21"/>
          <w:szCs w:val="21"/>
        </w:rPr>
        <w:t xml:space="preserve">Bepaal welke waarnemingen je in systemen wilt doen, en wie daar toegang voor regelt.</w:t>
      </w:r>
    </w:p>
    <w:p>
      <w:pPr>
        <w:pStyle w:val="ListParagraph"/>
        <w:numPr>
          <w:ilvl w:val="0"/>
          <w:numId w:val="2"/>
        </w:numPr>
        <w:spacing w:after="70" w:line="280"/>
      </w:pPr>
      <w:r>
        <w:rPr>
          <w:rFonts w:ascii="Calibri" w:cs="Calibri" w:eastAsia="Calibri" w:hAnsi="Calibri"/>
          <w:color w:val="0E1A1C"/>
          <w:sz w:val="21"/>
          <w:szCs w:val="21"/>
        </w:rPr>
        <w:t xml:space="preserve">Plan de volgorde: welk gesprek eerst, en waarom?</w:t>
      </w:r>
    </w:p>
    <w:p>
      <w:pPr>
        <w:pStyle w:val="ListParagraph"/>
        <w:numPr>
          <w:ilvl w:val="0"/>
          <w:numId w:val="2"/>
        </w:numPr>
        <w:spacing w:after="70" w:line="280"/>
      </w:pPr>
      <w:r>
        <w:rPr>
          <w:rFonts w:ascii="Calibri" w:cs="Calibri" w:eastAsia="Calibri" w:hAnsi="Calibri"/>
          <w:color w:val="0E1A1C"/>
          <w:sz w:val="21"/>
          <w:szCs w:val="21"/>
        </w:rPr>
        <w:t xml:space="preserve">Schat het totale aantal gespreksuren en toets dat aan je doorlooptijd.</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Respondentenplan per component, documentaanvraag, waarnemingsplan en een urenschatting.</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sceptische respondent levert op dit detailniveau nog meer op dan in deel 11, omdat hij precies weet welke sub-capability op papier staat en niet wordt uitgevoerd.</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3  ·  90 minuten</w:t>
      </w:r>
    </w:p>
    <w:p>
      <w:pPr>
        <w:spacing w:after="140"/>
      </w:pPr>
      <w:r>
        <w:rPr>
          <w:rFonts w:ascii="Cambria" w:cs="Cambria" w:eastAsia="Cambria" w:hAnsi="Cambria"/>
          <w:b/>
          <w:bCs/>
          <w:color w:val="1B4A48"/>
          <w:sz w:val="30"/>
          <w:szCs w:val="30"/>
        </w:rPr>
        <w:t xml:space="preserve">Scoren op twee componenten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De discipline van sub-capabilityscoring ervaren, met echt materiaal.</w:t>
      </w:r>
    </w:p>
    <w:p>
      <w:pPr>
        <w:pStyle w:val="ListParagraph"/>
        <w:numPr>
          <w:ilvl w:val="0"/>
          <w:numId w:val="2"/>
        </w:numPr>
        <w:spacing w:after="70" w:line="280"/>
      </w:pPr>
      <w:r>
        <w:rPr>
          <w:rFonts w:ascii="Calibri" w:cs="Calibri" w:eastAsia="Calibri" w:hAnsi="Calibri"/>
          <w:color w:val="0E1A1C"/>
          <w:sz w:val="21"/>
          <w:szCs w:val="21"/>
        </w:rPr>
        <w:t xml:space="preserve">Kies twee componenten uit je scope en open ze in het Knowledge Portal.</w:t>
      </w:r>
    </w:p>
    <w:p>
      <w:pPr>
        <w:pStyle w:val="ListParagraph"/>
        <w:numPr>
          <w:ilvl w:val="0"/>
          <w:numId w:val="2"/>
        </w:numPr>
        <w:spacing w:after="70" w:line="280"/>
      </w:pPr>
      <w:r>
        <w:rPr>
          <w:rFonts w:ascii="Calibri" w:cs="Calibri" w:eastAsia="Calibri" w:hAnsi="Calibri"/>
          <w:color w:val="0E1A1C"/>
          <w:sz w:val="21"/>
          <w:szCs w:val="21"/>
        </w:rPr>
        <w:t xml:space="preserve">Scoor elke sub-capability afzonderlijk op grond van het bewijsmateriaal dat je uit niveau 3 hebt.</w:t>
      </w:r>
    </w:p>
    <w:p>
      <w:pPr>
        <w:pStyle w:val="ListParagraph"/>
        <w:numPr>
          <w:ilvl w:val="0"/>
          <w:numId w:val="2"/>
        </w:numPr>
        <w:spacing w:after="70" w:line="280"/>
      </w:pPr>
      <w:r>
        <w:rPr>
          <w:rFonts w:ascii="Calibri" w:cs="Calibri" w:eastAsia="Calibri" w:hAnsi="Calibri"/>
          <w:color w:val="0E1A1C"/>
          <w:sz w:val="21"/>
          <w:szCs w:val="21"/>
        </w:rPr>
        <w:t xml:space="preserve">Noteer bij elke score het bewijsstuk en het bewijsniveau.</w:t>
      </w:r>
    </w:p>
    <w:p>
      <w:pPr>
        <w:pStyle w:val="ListParagraph"/>
        <w:numPr>
          <w:ilvl w:val="0"/>
          <w:numId w:val="2"/>
        </w:numPr>
        <w:spacing w:after="70" w:line="280"/>
      </w:pPr>
      <w:r>
        <w:rPr>
          <w:rFonts w:ascii="Calibri" w:cs="Calibri" w:eastAsia="Calibri" w:hAnsi="Calibri"/>
          <w:color w:val="0E1A1C"/>
          <w:sz w:val="21"/>
          <w:szCs w:val="21"/>
        </w:rPr>
        <w:t xml:space="preserve">Markeer de sub-capabilities waarvoor je geen bewijs hebt — die scoor je niet, die noteer je als niet beoordeeld.</w:t>
      </w:r>
    </w:p>
    <w:p>
      <w:pPr>
        <w:pStyle w:val="ListParagraph"/>
        <w:numPr>
          <w:ilvl w:val="0"/>
          <w:numId w:val="2"/>
        </w:numPr>
        <w:spacing w:after="70" w:line="280"/>
      </w:pPr>
      <w:r>
        <w:rPr>
          <w:rFonts w:ascii="Calibri" w:cs="Calibri" w:eastAsia="Calibri" w:hAnsi="Calibri"/>
          <w:color w:val="0E1A1C"/>
          <w:sz w:val="21"/>
          <w:szCs w:val="21"/>
        </w:rPr>
        <w:t xml:space="preserve">Tel achteraf hoe vaak je de middelste score koos en beoordeel of dat terecht was.</w:t>
      </w:r>
    </w:p>
    <w:p>
      <w:pPr>
        <w:pStyle w:val="ListParagraph"/>
        <w:numPr>
          <w:ilvl w:val="0"/>
          <w:numId w:val="2"/>
        </w:numPr>
        <w:spacing w:after="70" w:line="280"/>
      </w:pPr>
      <w:r>
        <w:rPr>
          <w:rFonts w:ascii="Calibri" w:cs="Calibri" w:eastAsia="Calibri" w:hAnsi="Calibri"/>
          <w:color w:val="0E1A1C"/>
          <w:sz w:val="21"/>
          <w:szCs w:val="21"/>
        </w:rPr>
        <w:t xml:space="preserve">Herzie de middenscores door consequent de bewijsvraag te stellen: welk niveau draagt dit bewijs?</w:t>
      </w:r>
    </w:p>
    <w:p>
      <w:pPr>
        <w:pStyle w:val="ListParagraph"/>
        <w:numPr>
          <w:ilvl w:val="0"/>
          <w:numId w:val="2"/>
        </w:numPr>
        <w:spacing w:after="70" w:line="280"/>
      </w:pPr>
      <w:r>
        <w:rPr>
          <w:rFonts w:ascii="Calibri" w:cs="Calibri" w:eastAsia="Calibri" w:hAnsi="Calibri"/>
          <w:color w:val="0E1A1C"/>
          <w:sz w:val="21"/>
          <w:szCs w:val="21"/>
        </w:rPr>
        <w:t xml:space="preserve">Noteer hoeveel scores door die herziening zijn verschoven, en in welke richting.</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Twee gescoorde componenten met bewijsstuk per sub-capability, en een analyse van je middenneiging.</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Bij twijfel is de vraag niet "hoe volwassen voelt dit" maar "welk bewijs heb ik en welk niveau draagt dat". Die vraag leidt bijna altijd naar boven of naar beneden, niet naar het midden.</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4  ·  60 minuten</w:t>
      </w:r>
    </w:p>
    <w:p>
      <w:pPr>
        <w:spacing w:after="140"/>
      </w:pPr>
      <w:r>
        <w:rPr>
          <w:rFonts w:ascii="Cambria" w:cs="Cambria" w:eastAsia="Cambria" w:hAnsi="Cambria"/>
          <w:b/>
          <w:bCs/>
          <w:color w:val="1B4A48"/>
          <w:sz w:val="30"/>
          <w:szCs w:val="30"/>
        </w:rPr>
        <w:t xml:space="preserve">Bewijs op detailniveau</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Onderscheiden waarvoor een artefact wél en niet als bewijs telt.</w:t>
      </w:r>
    </w:p>
    <w:p>
      <w:pPr>
        <w:pStyle w:val="ListParagraph"/>
        <w:numPr>
          <w:ilvl w:val="0"/>
          <w:numId w:val="2"/>
        </w:numPr>
        <w:spacing w:after="70" w:line="280"/>
      </w:pPr>
      <w:r>
        <w:rPr>
          <w:rFonts w:ascii="Calibri" w:cs="Calibri" w:eastAsia="Calibri" w:hAnsi="Calibri"/>
          <w:color w:val="0E1A1C"/>
          <w:sz w:val="21"/>
          <w:szCs w:val="21"/>
        </w:rPr>
        <w:t xml:space="preserve">Je krijgt een bewijsdossier met acht artefacten uit de gefuseerde organisatie.</w:t>
      </w:r>
    </w:p>
    <w:p>
      <w:pPr>
        <w:pStyle w:val="ListParagraph"/>
        <w:numPr>
          <w:ilvl w:val="0"/>
          <w:numId w:val="2"/>
        </w:numPr>
        <w:spacing w:after="70" w:line="280"/>
      </w:pPr>
      <w:r>
        <w:rPr>
          <w:rFonts w:ascii="Calibri" w:cs="Calibri" w:eastAsia="Calibri" w:hAnsi="Calibri"/>
          <w:color w:val="0E1A1C"/>
          <w:sz w:val="21"/>
          <w:szCs w:val="21"/>
        </w:rPr>
        <w:t xml:space="preserve">Bepaal per artefact voor welke sub-capabilities het bewijs levert — en voor welke niet, hoewel het daarop lijkt.</w:t>
      </w:r>
    </w:p>
    <w:p>
      <w:pPr>
        <w:pStyle w:val="ListParagraph"/>
        <w:numPr>
          <w:ilvl w:val="0"/>
          <w:numId w:val="2"/>
        </w:numPr>
        <w:spacing w:after="70" w:line="280"/>
      </w:pPr>
      <w:r>
        <w:rPr>
          <w:rFonts w:ascii="Calibri" w:cs="Calibri" w:eastAsia="Calibri" w:hAnsi="Calibri"/>
          <w:color w:val="0E1A1C"/>
          <w:sz w:val="21"/>
          <w:szCs w:val="21"/>
        </w:rPr>
        <w:t xml:space="preserve">Markeer de artefacten die je in opdracht 3 voor meerdere sub-capabilities hebt gebruikt.</w:t>
      </w:r>
    </w:p>
    <w:p>
      <w:pPr>
        <w:pStyle w:val="ListParagraph"/>
        <w:numPr>
          <w:ilvl w:val="0"/>
          <w:numId w:val="2"/>
        </w:numPr>
        <w:spacing w:after="70" w:line="280"/>
      </w:pPr>
      <w:r>
        <w:rPr>
          <w:rFonts w:ascii="Calibri" w:cs="Calibri" w:eastAsia="Calibri" w:hAnsi="Calibri"/>
          <w:color w:val="0E1A1C"/>
          <w:sz w:val="21"/>
          <w:szCs w:val="21"/>
        </w:rPr>
        <w:t xml:space="preserve">Bepaal per artefact welk aanvullend bewijs je zou opvragen.</w:t>
      </w:r>
    </w:p>
    <w:p>
      <w:pPr>
        <w:pStyle w:val="ListParagraph"/>
        <w:numPr>
          <w:ilvl w:val="0"/>
          <w:numId w:val="2"/>
        </w:numPr>
        <w:spacing w:after="70" w:line="280"/>
      </w:pPr>
      <w:r>
        <w:rPr>
          <w:rFonts w:ascii="Calibri" w:cs="Calibri" w:eastAsia="Calibri" w:hAnsi="Calibri"/>
          <w:color w:val="0E1A1C"/>
          <w:sz w:val="21"/>
          <w:szCs w:val="21"/>
        </w:rPr>
        <w:t xml:space="preserve">Zoek het artefact dat op het eerste gezicht het sterkst lijkt en beoordeel of dat klopt.</w:t>
      </w:r>
    </w:p>
    <w:p>
      <w:pPr>
        <w:pStyle w:val="ListParagraph"/>
        <w:numPr>
          <w:ilvl w:val="0"/>
          <w:numId w:val="2"/>
        </w:numPr>
        <w:spacing w:after="70" w:line="280"/>
      </w:pPr>
      <w:r>
        <w:rPr>
          <w:rFonts w:ascii="Calibri" w:cs="Calibri" w:eastAsia="Calibri" w:hAnsi="Calibri"/>
          <w:color w:val="0E1A1C"/>
          <w:sz w:val="21"/>
          <w:szCs w:val="21"/>
        </w:rPr>
        <w:t xml:space="preserve">Herzie de scores uit opdracht 3 waar het bewijs te breed is toegepast.</w:t>
      </w:r>
    </w:p>
    <w:p>
      <w:pPr>
        <w:pStyle w:val="ListParagraph"/>
        <w:numPr>
          <w:ilvl w:val="0"/>
          <w:numId w:val="2"/>
        </w:numPr>
        <w:spacing w:after="70" w:line="280"/>
      </w:pPr>
      <w:r>
        <w:rPr>
          <w:rFonts w:ascii="Calibri" w:cs="Calibri" w:eastAsia="Calibri" w:hAnsi="Calibri"/>
          <w:color w:val="0E1A1C"/>
          <w:sz w:val="21"/>
          <w:szCs w:val="21"/>
        </w:rPr>
        <w:t xml:space="preserve">Beschrijf hoe je aan een respondent uitlegt dat zijn document minder bewijst dan hij denkt.</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Acht beoordeelde artefacten met reikwijdte, herziene scores, en één uitleg.</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Eén artefact bewijst één ding, en assessoren gebruiken het voor drie. Dat is de meest voorkomende oorzaak van scores die bij kalibratie ver uiteenlopen.</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5  ·  75 minuten</w:t>
      </w:r>
    </w:p>
    <w:p>
      <w:pPr>
        <w:spacing w:after="140"/>
      </w:pPr>
      <w:r>
        <w:rPr>
          <w:rFonts w:ascii="Cambria" w:cs="Cambria" w:eastAsia="Cambria" w:hAnsi="Cambria"/>
          <w:b/>
          <w:bCs/>
          <w:color w:val="1B4A48"/>
          <w:sz w:val="30"/>
          <w:szCs w:val="30"/>
        </w:rPr>
        <w:t xml:space="preserve">Teamkalibratie</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Kalibreren op het niveau waarop is gescoord, met vastlegging die over twee jaar bruikbaar is.</w:t>
      </w:r>
    </w:p>
    <w:p>
      <w:pPr>
        <w:pStyle w:val="ListParagraph"/>
        <w:numPr>
          <w:ilvl w:val="0"/>
          <w:numId w:val="2"/>
        </w:numPr>
        <w:spacing w:after="70" w:line="280"/>
      </w:pPr>
      <w:r>
        <w:rPr>
          <w:rFonts w:ascii="Calibri" w:cs="Calibri" w:eastAsia="Calibri" w:hAnsi="Calibri"/>
          <w:color w:val="0E1A1C"/>
          <w:sz w:val="21"/>
          <w:szCs w:val="21"/>
        </w:rPr>
        <w:t xml:space="preserve">Vergelijk in groepen van drie de scores op de overlappende sub-capabilities.</w:t>
      </w:r>
    </w:p>
    <w:p>
      <w:pPr>
        <w:pStyle w:val="ListParagraph"/>
        <w:numPr>
          <w:ilvl w:val="0"/>
          <w:numId w:val="2"/>
        </w:numPr>
        <w:spacing w:after="70" w:line="280"/>
      </w:pPr>
      <w:r>
        <w:rPr>
          <w:rFonts w:ascii="Calibri" w:cs="Calibri" w:eastAsia="Calibri" w:hAnsi="Calibri"/>
          <w:color w:val="0E1A1C"/>
          <w:sz w:val="21"/>
          <w:szCs w:val="21"/>
        </w:rPr>
        <w:t xml:space="preserve">Bepaal of er een systematisch verschil is tussen assessoren, en in welke richting.</w:t>
      </w:r>
    </w:p>
    <w:p>
      <w:pPr>
        <w:pStyle w:val="ListParagraph"/>
        <w:numPr>
          <w:ilvl w:val="0"/>
          <w:numId w:val="2"/>
        </w:numPr>
        <w:spacing w:after="70" w:line="280"/>
      </w:pPr>
      <w:r>
        <w:rPr>
          <w:rFonts w:ascii="Calibri" w:cs="Calibri" w:eastAsia="Calibri" w:hAnsi="Calibri"/>
          <w:color w:val="0E1A1C"/>
          <w:sz w:val="21"/>
          <w:szCs w:val="21"/>
        </w:rPr>
        <w:t xml:space="preserve">Herleid elk verschil naar het bewijsstuk: verschillend bewijs, of hetzelfde bewijs anders gewogen?</w:t>
      </w:r>
    </w:p>
    <w:p>
      <w:pPr>
        <w:pStyle w:val="ListParagraph"/>
        <w:numPr>
          <w:ilvl w:val="0"/>
          <w:numId w:val="2"/>
        </w:numPr>
        <w:spacing w:after="70" w:line="280"/>
      </w:pPr>
      <w:r>
        <w:rPr>
          <w:rFonts w:ascii="Calibri" w:cs="Calibri" w:eastAsia="Calibri" w:hAnsi="Calibri"/>
          <w:color w:val="0E1A1C"/>
          <w:sz w:val="21"/>
          <w:szCs w:val="21"/>
        </w:rPr>
        <w:t xml:space="preserve">Kom tot gezamenlijke scores of leg vast waarom die er niet komen.</w:t>
      </w:r>
    </w:p>
    <w:p>
      <w:pPr>
        <w:pStyle w:val="ListParagraph"/>
        <w:numPr>
          <w:ilvl w:val="0"/>
          <w:numId w:val="2"/>
        </w:numPr>
        <w:spacing w:after="70" w:line="280"/>
      </w:pPr>
      <w:r>
        <w:rPr>
          <w:rFonts w:ascii="Calibri" w:cs="Calibri" w:eastAsia="Calibri" w:hAnsi="Calibri"/>
          <w:color w:val="0E1A1C"/>
          <w:sz w:val="21"/>
          <w:szCs w:val="21"/>
        </w:rPr>
        <w:t xml:space="preserve">Toets op de drie systematische afwijkingen, inclusief de derde: wie het onderwerp het beste kent, scoort strenger.</w:t>
      </w:r>
    </w:p>
    <w:p>
      <w:pPr>
        <w:pStyle w:val="ListParagraph"/>
        <w:numPr>
          <w:ilvl w:val="0"/>
          <w:numId w:val="2"/>
        </w:numPr>
        <w:spacing w:after="70" w:line="280"/>
      </w:pPr>
      <w:r>
        <w:rPr>
          <w:rFonts w:ascii="Calibri" w:cs="Calibri" w:eastAsia="Calibri" w:hAnsi="Calibri"/>
          <w:color w:val="0E1A1C"/>
          <w:sz w:val="21"/>
          <w:szCs w:val="21"/>
        </w:rPr>
        <w:t xml:space="preserve">Schrijf de kalibratienotitie op sub-capabilityniveau.</w:t>
      </w:r>
    </w:p>
    <w:p>
      <w:pPr>
        <w:pStyle w:val="ListParagraph"/>
        <w:numPr>
          <w:ilvl w:val="0"/>
          <w:numId w:val="2"/>
        </w:numPr>
        <w:spacing w:after="70" w:line="280"/>
      </w:pPr>
      <w:r>
        <w:rPr>
          <w:rFonts w:ascii="Calibri" w:cs="Calibri" w:eastAsia="Calibri" w:hAnsi="Calibri"/>
          <w:color w:val="0E1A1C"/>
          <w:sz w:val="21"/>
          <w:szCs w:val="21"/>
        </w:rPr>
        <w:t xml:space="preserve">Beoordeel of die notitie over twee jaar bruikbaar is voor iemand die er nu niet bij was.</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Gekalibreerde scores op de overlap, systematische afwijkingen benoemd, en een kalibratienotitie.</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laatste stap is de toets. Een kalibratienotitie die alleen begrijpelijk is voor wie erbij was, maakt de herhaalmeting waardeloos — en dat is precies waar de hele DCAM-investering voor was bedoeld.</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6  ·  60 minuten</w:t>
      </w:r>
    </w:p>
    <w:p>
      <w:pPr>
        <w:spacing w:after="140"/>
      </w:pPr>
      <w:r>
        <w:rPr>
          <w:rFonts w:ascii="Cambria" w:cs="Cambria" w:eastAsia="Cambria" w:hAnsi="Cambria"/>
          <w:b/>
          <w:bCs/>
          <w:color w:val="1B4A48"/>
          <w:sz w:val="30"/>
          <w:szCs w:val="30"/>
        </w:rPr>
        <w:t xml:space="preserve">Van score naar roadmap</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De vertaalslag maken zonder de laagste scores als agenda te nemen.</w:t>
      </w:r>
    </w:p>
    <w:p>
      <w:pPr>
        <w:pStyle w:val="ListParagraph"/>
        <w:numPr>
          <w:ilvl w:val="0"/>
          <w:numId w:val="2"/>
        </w:numPr>
        <w:spacing w:after="70" w:line="280"/>
      </w:pPr>
      <w:r>
        <w:rPr>
          <w:rFonts w:ascii="Calibri" w:cs="Calibri" w:eastAsia="Calibri" w:hAnsi="Calibri"/>
          <w:color w:val="0E1A1C"/>
          <w:sz w:val="21"/>
          <w:szCs w:val="21"/>
        </w:rPr>
        <w:t xml:space="preserve">Bepaal per gescoord component het benodigde niveau, afgeleid van wat de organisatie moet kunnen.</w:t>
      </w:r>
    </w:p>
    <w:p>
      <w:pPr>
        <w:pStyle w:val="ListParagraph"/>
        <w:numPr>
          <w:ilvl w:val="0"/>
          <w:numId w:val="2"/>
        </w:numPr>
        <w:spacing w:after="70" w:line="280"/>
      </w:pPr>
      <w:r>
        <w:rPr>
          <w:rFonts w:ascii="Calibri" w:cs="Calibri" w:eastAsia="Calibri" w:hAnsi="Calibri"/>
          <w:color w:val="0E1A1C"/>
          <w:sz w:val="21"/>
          <w:szCs w:val="21"/>
        </w:rPr>
        <w:t xml:space="preserve">Verantwoord per component waarom het maximum niet nodig is.</w:t>
      </w:r>
    </w:p>
    <w:p>
      <w:pPr>
        <w:pStyle w:val="ListParagraph"/>
        <w:numPr>
          <w:ilvl w:val="0"/>
          <w:numId w:val="2"/>
        </w:numPr>
        <w:spacing w:after="70" w:line="280"/>
      </w:pPr>
      <w:r>
        <w:rPr>
          <w:rFonts w:ascii="Calibri" w:cs="Calibri" w:eastAsia="Calibri" w:hAnsi="Calibri"/>
          <w:color w:val="0E1A1C"/>
          <w:sz w:val="21"/>
          <w:szCs w:val="21"/>
        </w:rPr>
        <w:t xml:space="preserve">Bereken het gat per component en rangschik op grootte.</w:t>
      </w:r>
    </w:p>
    <w:p>
      <w:pPr>
        <w:pStyle w:val="ListParagraph"/>
        <w:numPr>
          <w:ilvl w:val="0"/>
          <w:numId w:val="2"/>
        </w:numPr>
        <w:spacing w:after="70" w:line="280"/>
      </w:pPr>
      <w:r>
        <w:rPr>
          <w:rFonts w:ascii="Calibri" w:cs="Calibri" w:eastAsia="Calibri" w:hAnsi="Calibri"/>
          <w:color w:val="0E1A1C"/>
          <w:sz w:val="21"/>
          <w:szCs w:val="21"/>
        </w:rPr>
        <w:t xml:space="preserve">Breng de afhankelijkheden tussen sub-capabilities in kaart.</w:t>
      </w:r>
    </w:p>
    <w:p>
      <w:pPr>
        <w:pStyle w:val="ListParagraph"/>
        <w:numPr>
          <w:ilvl w:val="0"/>
          <w:numId w:val="2"/>
        </w:numPr>
        <w:spacing w:after="70" w:line="280"/>
      </w:pPr>
      <w:r>
        <w:rPr>
          <w:rFonts w:ascii="Calibri" w:cs="Calibri" w:eastAsia="Calibri" w:hAnsi="Calibri"/>
          <w:color w:val="0E1A1C"/>
          <w:sz w:val="21"/>
          <w:szCs w:val="21"/>
        </w:rPr>
        <w:t xml:space="preserve">Weeg het risico: welk gat doet het meest pijn bij de eerstvolgende toezichtsvraag?</w:t>
      </w:r>
    </w:p>
    <w:p>
      <w:pPr>
        <w:pStyle w:val="ListParagraph"/>
        <w:numPr>
          <w:ilvl w:val="0"/>
          <w:numId w:val="2"/>
        </w:numPr>
        <w:spacing w:after="70" w:line="280"/>
      </w:pPr>
      <w:r>
        <w:rPr>
          <w:rFonts w:ascii="Calibri" w:cs="Calibri" w:eastAsia="Calibri" w:hAnsi="Calibri"/>
          <w:color w:val="0E1A1C"/>
          <w:sz w:val="21"/>
          <w:szCs w:val="21"/>
        </w:rPr>
        <w:t xml:space="preserve">Vergelijk je uitkomst met de roadmap die zou volgen uit simpelweg de laagste scores, en benoem de verschillen.</w:t>
      </w:r>
    </w:p>
    <w:p>
      <w:pPr>
        <w:pStyle w:val="ListParagraph"/>
        <w:numPr>
          <w:ilvl w:val="0"/>
          <w:numId w:val="2"/>
        </w:numPr>
        <w:spacing w:after="70" w:line="280"/>
      </w:pPr>
      <w:r>
        <w:rPr>
          <w:rFonts w:ascii="Calibri" w:cs="Calibri" w:eastAsia="Calibri" w:hAnsi="Calibri"/>
          <w:color w:val="0E1A1C"/>
          <w:sz w:val="21"/>
          <w:szCs w:val="21"/>
        </w:rPr>
        <w:t xml:space="preserve">Stel drie scenario’s op met kosten en doorlooptijd.</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Benodigde niveaus per component, gatanalyse, afhankelijkheden en drie scenario’s.</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vergelijking met de laagste-scores-roadmap is de opdracht. Als beide hetzelfde opleveren, heb je het benodigde niveau waarschijnlijk niet echt bepaald.</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7  ·  90 minuten</w:t>
      </w:r>
    </w:p>
    <w:p>
      <w:pPr>
        <w:spacing w:after="140"/>
      </w:pPr>
      <w:r>
        <w:rPr>
          <w:rFonts w:ascii="Cambria" w:cs="Cambria" w:eastAsia="Cambria" w:hAnsi="Cambria"/>
          <w:b/>
          <w:bCs/>
          <w:color w:val="1B4A48"/>
          <w:sz w:val="30"/>
          <w:szCs w:val="30"/>
        </w:rPr>
        <w:t xml:space="preserve">De assessmentrapportage</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Een rapportage opleveren die de vergelijkbaarheid waarmaakt die DCAM belooft.</w:t>
      </w:r>
    </w:p>
    <w:p>
      <w:pPr>
        <w:pStyle w:val="ListParagraph"/>
        <w:numPr>
          <w:ilvl w:val="0"/>
          <w:numId w:val="2"/>
        </w:numPr>
        <w:spacing w:after="70" w:line="280"/>
      </w:pPr>
      <w:r>
        <w:rPr>
          <w:rFonts w:ascii="Calibri" w:cs="Calibri" w:eastAsia="Calibri" w:hAnsi="Calibri"/>
          <w:color w:val="0E1A1C"/>
          <w:sz w:val="21"/>
          <w:szCs w:val="21"/>
        </w:rPr>
        <w:t xml:space="preserve">Schrijf een rapportage van maximaal twaalf pagina’s.</w:t>
      </w:r>
    </w:p>
    <w:p>
      <w:pPr>
        <w:pStyle w:val="ListParagraph"/>
        <w:numPr>
          <w:ilvl w:val="0"/>
          <w:numId w:val="2"/>
        </w:numPr>
        <w:spacing w:after="70" w:line="280"/>
      </w:pPr>
      <w:r>
        <w:rPr>
          <w:rFonts w:ascii="Calibri" w:cs="Calibri" w:eastAsia="Calibri" w:hAnsi="Calibri"/>
          <w:color w:val="0E1A1C"/>
          <w:sz w:val="21"/>
          <w:szCs w:val="21"/>
        </w:rPr>
        <w:t xml:space="preserve">Neem scope, uitsluitingen, respondenten, periode en assessoren op.</w:t>
      </w:r>
    </w:p>
    <w:p>
      <w:pPr>
        <w:pStyle w:val="ListParagraph"/>
        <w:numPr>
          <w:ilvl w:val="0"/>
          <w:numId w:val="2"/>
        </w:numPr>
        <w:spacing w:after="70" w:line="280"/>
      </w:pPr>
      <w:r>
        <w:rPr>
          <w:rFonts w:ascii="Calibri" w:cs="Calibri" w:eastAsia="Calibri" w:hAnsi="Calibri"/>
          <w:color w:val="0E1A1C"/>
          <w:sz w:val="21"/>
          <w:szCs w:val="21"/>
        </w:rPr>
        <w:t xml:space="preserve">Rapporteer op componentniveau voor de board, met de sub-capabilityscores als bijlage.</w:t>
      </w:r>
    </w:p>
    <w:p>
      <w:pPr>
        <w:pStyle w:val="ListParagraph"/>
        <w:numPr>
          <w:ilvl w:val="0"/>
          <w:numId w:val="2"/>
        </w:numPr>
        <w:spacing w:after="70" w:line="280"/>
      </w:pPr>
      <w:r>
        <w:rPr>
          <w:rFonts w:ascii="Calibri" w:cs="Calibri" w:eastAsia="Calibri" w:hAnsi="Calibri"/>
          <w:color w:val="0E1A1C"/>
          <w:sz w:val="21"/>
          <w:szCs w:val="21"/>
        </w:rPr>
        <w:t xml:space="preserve">Vermeld per component het zwaarste bewijs en de spreiding tussen assessoren.</w:t>
      </w:r>
    </w:p>
    <w:p>
      <w:pPr>
        <w:pStyle w:val="ListParagraph"/>
        <w:numPr>
          <w:ilvl w:val="0"/>
          <w:numId w:val="2"/>
        </w:numPr>
        <w:spacing w:after="70" w:line="280"/>
      </w:pPr>
      <w:r>
        <w:rPr>
          <w:rFonts w:ascii="Calibri" w:cs="Calibri" w:eastAsia="Calibri" w:hAnsi="Calibri"/>
          <w:color w:val="0E1A1C"/>
          <w:sz w:val="21"/>
          <w:szCs w:val="21"/>
        </w:rPr>
        <w:t xml:space="preserve">Neem de kalibratienotitie op of verwijs ernaar.</w:t>
      </w:r>
    </w:p>
    <w:p>
      <w:pPr>
        <w:pStyle w:val="ListParagraph"/>
        <w:numPr>
          <w:ilvl w:val="0"/>
          <w:numId w:val="2"/>
        </w:numPr>
        <w:spacing w:after="70" w:line="280"/>
      </w:pPr>
      <w:r>
        <w:rPr>
          <w:rFonts w:ascii="Calibri" w:cs="Calibri" w:eastAsia="Calibri" w:hAnsi="Calibri"/>
          <w:color w:val="0E1A1C"/>
          <w:sz w:val="21"/>
          <w:szCs w:val="21"/>
        </w:rPr>
        <w:t xml:space="preserve">Geef de gatanalyse en de drie scenario’s.</w:t>
      </w:r>
    </w:p>
    <w:p>
      <w:pPr>
        <w:pStyle w:val="ListParagraph"/>
        <w:numPr>
          <w:ilvl w:val="0"/>
          <w:numId w:val="2"/>
        </w:numPr>
        <w:spacing w:after="70" w:line="280"/>
      </w:pPr>
      <w:r>
        <w:rPr>
          <w:rFonts w:ascii="Calibri" w:cs="Calibri" w:eastAsia="Calibri" w:hAnsi="Calibri"/>
          <w:color w:val="0E1A1C"/>
          <w:sz w:val="21"/>
          <w:szCs w:val="21"/>
        </w:rPr>
        <w:t xml:space="preserve">Leg de afspraak over de herhaalmeting vast, inclusief wie assessor is.</w:t>
      </w:r>
    </w:p>
    <w:p>
      <w:pPr>
        <w:pStyle w:val="ListParagraph"/>
        <w:numPr>
          <w:ilvl w:val="0"/>
          <w:numId w:val="2"/>
        </w:numPr>
        <w:spacing w:after="70" w:line="280"/>
      </w:pPr>
      <w:r>
        <w:rPr>
          <w:rFonts w:ascii="Calibri" w:cs="Calibri" w:eastAsia="Calibri" w:hAnsi="Calibri"/>
          <w:color w:val="0E1A1C"/>
          <w:sz w:val="21"/>
          <w:szCs w:val="21"/>
        </w:rPr>
        <w:t xml:space="preserve">Sluit af met een gevraagd besluit met datum.</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Assessmentrapportage van maximaal twaalf pagina’s met bijlage en herhaalafspraak.</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board leest het componentniveau; de opvolger over twee jaar leest de bijlage. Schrijf voor beide, en laat de bijlage niet verwateren omdat niemand hem nu leest.</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pStyle w:val="Heading1"/>
        <w:spacing w:after="200" w:before="420"/>
      </w:pPr>
      <w:r>
        <w:rPr>
          <w:rFonts w:ascii="Cambria" w:cs="Cambria" w:eastAsia="Cambria" w:hAnsi="Cambria"/>
          <w:b/>
          <w:bCs/>
          <w:color w:val="1B4A48"/>
          <w:sz w:val="34"/>
          <w:szCs w:val="34"/>
        </w:rPr>
        <w:t xml:space="preserve">Zelftoets</w:t>
      </w:r>
    </w:p>
    <w:p>
      <w:pPr>
        <w:spacing w:after="140" w:line="288"/>
      </w:pPr>
      <w:r>
        <w:rPr>
          <w:rFonts w:ascii="Calibri" w:cs="Calibri" w:eastAsia="Calibri" w:hAnsi="Calibri"/>
          <w:color w:val="0E1A1C"/>
          <w:sz w:val="21"/>
          <w:szCs w:val="21"/>
        </w:rPr>
        <w:t xml:space="preserve">12 meerkeuzevragen in de stijl van de scenariovragen die je op het examen tegenkomt. Deze vragen zijn door Ductus zelf opgesteld; het zijn geen examenvragen en ze zijn niet ontleend aan officieel examenmateriaal. De antwoorden krijg je van je docent.</w:t>
      </w:r>
    </w:p>
    <w:p>
      <w:pPr>
        <w:spacing w:after="140" w:line="288"/>
      </w:pPr>
      <w:r>
        <w:rPr>
          <w:rFonts w:ascii="Calibri" w:cs="Calibri" w:eastAsia="Calibri" w:hAnsi="Calibri"/>
          <w:color w:val="0E1A1C"/>
          <w:sz w:val="21"/>
          <w:szCs w:val="21"/>
        </w:rPr>
        <w:t xml:space="preserve">Werk zonder hulpmiddelen. Noteer bij elke vraag ook je zekerheid — dat maakt de nabespreking bruikbaarder dan het aantal goede antwoorden.</w:t>
      </w:r>
    </w:p>
    <w:p>
      <w:pPr>
        <w:spacing w:after="140"/>
      </w:pPr>
      <w:r>
        <w:t xml:space="preserve"/>
      </w:r>
    </w:p>
    <w:p>
      <w:pPr>
        <w:spacing w:after="90" w:before="280"/>
      </w:pPr>
      <w:r>
        <w:rPr>
          <w:rFonts w:ascii="Consolas" w:cs="Consolas" w:eastAsia="Consolas" w:hAnsi="Consolas"/>
          <w:b/>
          <w:bCs/>
          <w:color w:val="3F7D74"/>
          <w:sz w:val="20"/>
          <w:szCs w:val="20"/>
        </w:rPr>
        <w:t xml:space="preserve">1.  </w:t>
      </w:r>
      <w:r>
        <w:rPr>
          <w:rFonts w:ascii="Calibri" w:cs="Calibri" w:eastAsia="Calibri" w:hAnsi="Calibri"/>
          <w:b/>
          <w:bCs/>
          <w:color w:val="0E1A1C"/>
          <w:sz w:val="21"/>
          <w:szCs w:val="21"/>
        </w:rPr>
        <w:t xml:space="preserve">Waarin verschilt DCAM van de aanpak uit deel 11?</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Het is uitgebreider.</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Het raamwerk en de scoringscriteria zijn vast; vergelijkbaarheid is het hoofddoel.</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Het is goedkoper.</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Het richt zich op techniek.</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2.  </w:t>
      </w:r>
      <w:r>
        <w:rPr>
          <w:rFonts w:ascii="Calibri" w:cs="Calibri" w:eastAsia="Calibri" w:hAnsi="Calibri"/>
          <w:b/>
          <w:bCs/>
          <w:color w:val="0E1A1C"/>
          <w:sz w:val="21"/>
          <w:szCs w:val="21"/>
        </w:rPr>
        <w:t xml:space="preserve">Op welk niveau scoor je daadwerkelijk?</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Component</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Capability</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Sub-capability</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Alle drie</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3.  </w:t>
      </w:r>
      <w:r>
        <w:rPr>
          <w:rFonts w:ascii="Calibri" w:cs="Calibri" w:eastAsia="Calibri" w:hAnsi="Calibri"/>
          <w:b/>
          <w:bCs/>
          <w:color w:val="0E1A1C"/>
          <w:sz w:val="21"/>
          <w:szCs w:val="21"/>
        </w:rPr>
        <w:t xml:space="preserve">Wat is het gevolg van de scoringscriteria vrij vertalen naar het Nederlands?</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Het is duidelijker voor respondenten.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Vertaling introduceert nuances die de vergelijking met een volgende meting verstoren.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Het is niet toegestaan.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Het versnelt het assessment.</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4.  </w:t>
      </w:r>
      <w:r>
        <w:rPr>
          <w:rFonts w:ascii="Calibri" w:cs="Calibri" w:eastAsia="Calibri" w:hAnsi="Calibri"/>
          <w:b/>
          <w:bCs/>
          <w:color w:val="0E1A1C"/>
          <w:sz w:val="21"/>
          <w:szCs w:val="21"/>
        </w:rPr>
        <w:t xml:space="preserve">Welke vraag beantwoordt DCAM níét?</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Hoe staan wij ervoor ten opzichte van vorig jaar?</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Hoe verhouden wij ons tot anderen?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Wat moeten wij als eerste doen?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Op welk niveau staat dit component?</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5.  </w:t>
      </w:r>
      <w:r>
        <w:rPr>
          <w:rFonts w:ascii="Calibri" w:cs="Calibri" w:eastAsia="Calibri" w:hAnsi="Calibri"/>
          <w:b/>
          <w:bCs/>
          <w:color w:val="0E1A1C"/>
          <w:sz w:val="21"/>
          <w:szCs w:val="21"/>
        </w:rPr>
        <w:t xml:space="preserve">Een opdrachtgever vraagt of het assessment in drie weken kan. Wat is dat voor vraag?</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Een tempo-vraag.</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Een scopevraag.</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Een budgetvraag.</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Een capaciteitsvraag.</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6.  </w:t>
      </w:r>
      <w:r>
        <w:rPr>
          <w:rFonts w:ascii="Calibri" w:cs="Calibri" w:eastAsia="Calibri" w:hAnsi="Calibri"/>
          <w:b/>
          <w:bCs/>
          <w:color w:val="0E1A1C"/>
          <w:sz w:val="21"/>
          <w:szCs w:val="21"/>
        </w:rPr>
        <w:t xml:space="preserve">Waarom is de middelste score bij twijfel onverstandig?</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Hij is meestal fout.</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Een organisatie die overal in het midden scoort, krijgt een rapport zonder richting.</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Hij is niet toegestaan.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Hij vertraagt de kalibratie.</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7.  </w:t>
      </w:r>
      <w:r>
        <w:rPr>
          <w:rFonts w:ascii="Calibri" w:cs="Calibri" w:eastAsia="Calibri" w:hAnsi="Calibri"/>
          <w:b/>
          <w:bCs/>
          <w:color w:val="0E1A1C"/>
          <w:sz w:val="21"/>
          <w:szCs w:val="21"/>
        </w:rPr>
        <w:t xml:space="preserve">Er is een besluitrechtenmatrix. Waarvoor is dat bewijs?</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Voor governance als geheel.</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Voor vastlegging — niet voor toepassing; vraag naar de laatste vijf besluiten.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Voor mandaat.</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Voor het gehele governancecomponent.</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8.  </w:t>
      </w:r>
      <w:r>
        <w:rPr>
          <w:rFonts w:ascii="Calibri" w:cs="Calibri" w:eastAsia="Calibri" w:hAnsi="Calibri"/>
          <w:b/>
          <w:bCs/>
          <w:color w:val="0E1A1C"/>
          <w:sz w:val="21"/>
          <w:szCs w:val="21"/>
        </w:rPr>
        <w:t xml:space="preserve">Welke systematische afwijking komt op sub-capabilityniveau bij?</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De interne assessor scoort hoger.</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Wie de meeste interviews deed, scoort lager.</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Wie het onderwerp het beste kent, scoort strenger.</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Wie het snelst scoort, scoort hoger.</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9.  </w:t>
      </w:r>
      <w:r>
        <w:rPr>
          <w:rFonts w:ascii="Calibri" w:cs="Calibri" w:eastAsia="Calibri" w:hAnsi="Calibri"/>
          <w:b/>
          <w:bCs/>
          <w:color w:val="0E1A1C"/>
          <w:sz w:val="21"/>
          <w:szCs w:val="21"/>
        </w:rPr>
        <w:t xml:space="preserve">Waar begin je bij teamkalibratie?</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Bij de hoogste scores.</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Bij de overlappende sub-capabilities die door twee assessoren zijn gescoord.</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Bij de componenten met de meeste sub-capabilities.</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Bij de laagste scores.</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10.  </w:t>
      </w:r>
      <w:r>
        <w:rPr>
          <w:rFonts w:ascii="Calibri" w:cs="Calibri" w:eastAsia="Calibri" w:hAnsi="Calibri"/>
          <w:b/>
          <w:bCs/>
          <w:color w:val="0E1A1C"/>
          <w:sz w:val="21"/>
          <w:szCs w:val="21"/>
        </w:rPr>
        <w:t xml:space="preserve">Waarom is een roadmap op grond van de laagste scores bijna altijd fout?</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De laagste scores zijn onbetrouwbaar.</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De laagste score is niet het grootste risico, er zijn afhankelijkheden, en het benodigde niveau verschilt per component.</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De board begrijpt het niet.</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Het duurt te lang.</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11.  </w:t>
      </w:r>
      <w:r>
        <w:rPr>
          <w:rFonts w:ascii="Calibri" w:cs="Calibri" w:eastAsia="Calibri" w:hAnsi="Calibri"/>
          <w:b/>
          <w:bCs/>
          <w:color w:val="0E1A1C"/>
          <w:sz w:val="21"/>
          <w:szCs w:val="21"/>
        </w:rPr>
        <w:t xml:space="preserve">Wat maakt een herhaalmeting betekenisvol?</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Een nieuw assessorteam voor frisse blik.</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Dezelfde scope, dezelfde discipline, dezelfde bewijslat, en de kalibratienotitie van de eerste meting.</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Een uitgebreidere scope.</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Een hogere frequentie.</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12.  </w:t>
      </w:r>
      <w:r>
        <w:rPr>
          <w:rFonts w:ascii="Calibri" w:cs="Calibri" w:eastAsia="Calibri" w:hAnsi="Calibri"/>
          <w:b/>
          <w:bCs/>
          <w:color w:val="0E1A1C"/>
          <w:sz w:val="21"/>
          <w:szCs w:val="21"/>
        </w:rPr>
        <w:t xml:space="preserve">Wanneer plan je het DCAM-examen?</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Vóór het eerste assessment, voor de theorie.</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Ná een volledig assessment; de praktijkervaring maakt het verschil.</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Tegelijk met het CDMP.</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Direct na de training.</w:t>
      </w:r>
    </w:p>
    <w:p>
      <w:pPr>
        <w:spacing w:after="0" w:before="80"/>
        <w:ind w:left="420"/>
      </w:pPr>
      <w:r>
        <w:rPr>
          <w:rFonts w:ascii="Consolas" w:cs="Consolas" w:eastAsia="Consolas" w:hAnsi="Consolas"/>
          <w:color w:val="5F7375"/>
          <w:sz w:val="17"/>
          <w:szCs w:val="17"/>
        </w:rPr>
        <w:t xml:space="preserve">Antwoord: ______     Zekerheid:  laag / gemiddeld / hoog</w:t>
      </w:r>
    </w:p>
    <w:p>
      <w:r>
        <w:br w:type="page"/>
      </w:r>
    </w:p>
    <w:p>
      <w:pPr>
        <w:pStyle w:val="Heading1"/>
        <w:spacing w:after="200" w:before="420"/>
      </w:pPr>
      <w:r>
        <w:rPr>
          <w:rFonts w:ascii="Cambria" w:cs="Cambria" w:eastAsia="Cambria" w:hAnsi="Cambria"/>
          <w:b/>
          <w:bCs/>
          <w:color w:val="1B4A48"/>
          <w:sz w:val="34"/>
          <w:szCs w:val="34"/>
        </w:rPr>
        <w:t xml:space="preserve">Reflectie</w:t>
      </w:r>
    </w:p>
    <w:p>
      <w:pPr>
        <w:spacing w:after="140" w:line="288"/>
      </w:pPr>
      <w:r>
        <w:rPr>
          <w:rFonts w:ascii="Calibri" w:cs="Calibri" w:eastAsia="Calibri" w:hAnsi="Calibri"/>
          <w:color w:val="0E1A1C"/>
          <w:sz w:val="21"/>
          <w:szCs w:val="21"/>
        </w:rPr>
        <w:t xml:space="preserve">Rond het deel af met drie korte antwoorden. Bewaar ze — je hebt ze nodig bij de capstone van dit niveau.</w:t>
      </w:r>
    </w:p>
    <w:p>
      <w:pPr>
        <w:pStyle w:val="Heading3"/>
        <w:spacing w:after="100" w:before="240"/>
      </w:pPr>
      <w:r>
        <w:rPr>
          <w:rFonts w:ascii="Calibri" w:cs="Calibri" w:eastAsia="Calibri" w:hAnsi="Calibri"/>
          <w:b/>
          <w:bCs/>
          <w:color w:val="3F7D74"/>
          <w:sz w:val="22"/>
          <w:szCs w:val="22"/>
        </w:rPr>
        <w:t xml:space="preserve">Hoe vaak koos jij de middelste score — en hoeveel daarvan hield stand na de bewijsvraag?</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pPr>
        <w:pStyle w:val="Heading3"/>
        <w:spacing w:after="100" w:before="240"/>
      </w:pPr>
      <w:r>
        <w:rPr>
          <w:rFonts w:ascii="Calibri" w:cs="Calibri" w:eastAsia="Calibri" w:hAnsi="Calibri"/>
          <w:b/>
          <w:bCs/>
          <w:color w:val="3F7D74"/>
          <w:sz w:val="22"/>
          <w:szCs w:val="22"/>
        </w:rPr>
        <w:t xml:space="preserve">Welk artefact in jouw praktijk wordt gebruikt als bewijs voor meer dan het aantoont?</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pPr>
        <w:pStyle w:val="Heading3"/>
        <w:spacing w:after="100" w:before="240"/>
      </w:pPr>
      <w:r>
        <w:rPr>
          <w:rFonts w:ascii="Calibri" w:cs="Calibri" w:eastAsia="Calibri" w:hAnsi="Calibri"/>
          <w:b/>
          <w:bCs/>
          <w:color w:val="3F7D74"/>
          <w:sz w:val="22"/>
          <w:szCs w:val="22"/>
        </w:rPr>
        <w:t xml:space="preserve">Zou jouw kalibratienotitie over twee jaar bruikbaar zijn voor iemand die er nu niet bij was?</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24 — DCAM v3 in de praktijk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DCAM v3 in de praktijk — Werkboek</dc:title>
  <dc:creator>Ductus B.V.</dc:creator>
  <dc:description>Cursusmateriaal datamanagement, data-analyse en data governance</dc:description>
  <cp:lastModifiedBy>Un-named</cp:lastModifiedBy>
  <cp:revision>1</cp:revision>
  <dcterms:created xsi:type="dcterms:W3CDTF">2026-08-05T14:04:34.833Z</dcterms:created>
  <dcterms:modified xsi:type="dcterms:W3CDTF">2026-08-05T14:04:34.833Z</dcterms:modified>
</cp:coreProperties>
</file>

<file path=docProps/custom.xml><?xml version="1.0" encoding="utf-8"?>
<Properties xmlns="http://schemas.openxmlformats.org/officeDocument/2006/custom-properties" xmlns:vt="http://schemas.openxmlformats.org/officeDocument/2006/docPropsVTypes"/>
</file>