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25</w:t>
      </w:r>
    </w:p>
    <w:p>
      <w:pPr>
        <w:spacing w:after="120"/>
      </w:pPr>
      <w:r>
        <w:rPr>
          <w:rFonts w:ascii="Cambria" w:cs="Cambria" w:eastAsia="Cambria" w:hAnsi="Cambria"/>
          <w:b/>
          <w:bCs/>
          <w:color w:val="0E1A1C"/>
          <w:sz w:val="56"/>
          <w:szCs w:val="56"/>
        </w:rPr>
        <w:t xml:space="preserve">Federatieve governance op schaal</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5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Policyvoorbeelden, meerjarige KPI-set met stagnatie, cultuurdiagnose-instrument</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25 gelezen; deel 22 en 23 afgerond, met de architectuur- en platformkeuzes beschikbaar.</w:t>
      </w:r>
    </w:p>
    <w:p>
      <w:pPr>
        <w:pStyle w:val="ListParagraph"/>
        <w:numPr>
          <w:ilvl w:val="0"/>
          <w:numId w:val="2"/>
        </w:numPr>
        <w:spacing w:after="70" w:line="280"/>
      </w:pPr>
      <w:r>
        <w:rPr>
          <w:rFonts w:ascii="Calibri" w:cs="Calibri" w:eastAsia="Calibri" w:hAnsi="Calibri"/>
          <w:color w:val="0E1A1C"/>
          <w:sz w:val="21"/>
          <w:szCs w:val="21"/>
        </w:rPr>
        <w:t xml:space="preserve">Opdracht 1 en 2 gemaakt, en een eigen doodgebloed governance-initiatief meegenomen. Vraag daarnaar bij binnenkomst — vrijwel iedereen heeft er een, en die verhalen zijn het beste materiaal van de dag.</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Vijftien normen uit het gecombineerde operating model, met bewust drie normen die verleidelijk versimpelbaar zijn tot iets structureels.</w:t>
      </w:r>
    </w:p>
    <w:p>
      <w:pPr>
        <w:pStyle w:val="ListParagraph"/>
        <w:numPr>
          <w:ilvl w:val="0"/>
          <w:numId w:val="2"/>
        </w:numPr>
        <w:spacing w:after="70" w:line="280"/>
      </w:pPr>
      <w:r>
        <w:rPr>
          <w:rFonts w:ascii="Calibri" w:cs="Calibri" w:eastAsia="Calibri" w:hAnsi="Calibri"/>
          <w:color w:val="0E1A1C"/>
          <w:sz w:val="21"/>
          <w:szCs w:val="21"/>
        </w:rPr>
        <w:t xml:space="preserve">Een KPI-set over twaalf kwartalen voor opdracht 6, waarin alle procesindicatoren netjes stijgen en de kwaliteitsscore op kritieke elementen vanaf kwartaal zeven vlak blijft. Verwerk er ook een langzaam dalende controluitvoering in die niemand opmerkt.</w:t>
      </w:r>
    </w:p>
    <w:p>
      <w:pPr>
        <w:pStyle w:val="ListParagraph"/>
        <w:numPr>
          <w:ilvl w:val="0"/>
          <w:numId w:val="2"/>
        </w:numPr>
        <w:spacing w:after="70" w:line="280"/>
      </w:pPr>
      <w:r>
        <w:rPr>
          <w:rFonts w:ascii="Calibri" w:cs="Calibri" w:eastAsia="Calibri" w:hAnsi="Calibri"/>
          <w:color w:val="0E1A1C"/>
          <w:sz w:val="21"/>
          <w:szCs w:val="21"/>
        </w:rPr>
        <w:t xml:space="preserve">Een stewardoverzicht van negen domeinen, met ongelijke uren en competentie, en drie stewards die binnen een jaar van functie wisselen.</w:t>
      </w:r>
    </w:p>
    <w:p>
      <w:pPr>
        <w:pStyle w:val="ListParagraph"/>
        <w:numPr>
          <w:ilvl w:val="0"/>
          <w:numId w:val="2"/>
        </w:numPr>
        <w:spacing w:after="70" w:line="280"/>
      </w:pPr>
      <w:r>
        <w:rPr>
          <w:rFonts w:ascii="Calibri" w:cs="Calibri" w:eastAsia="Calibri" w:hAnsi="Calibri"/>
          <w:color w:val="0E1A1C"/>
          <w:sz w:val="21"/>
          <w:szCs w:val="21"/>
        </w:rPr>
        <w:t xml:space="preserve">Een cultuurdiagnose-instrument met de vier oorzaken: tijd, mandaat, prikkel, onwetendheid.</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16 ontwierp een governance-inrichting; dit deel zorgt dat zij over drie jaar nog werkt, op negen domeinen en met twee culturen. Het bouwt op de federated computational governance uit deel 23 opdracht 6 en op de kwaliteitsregels uit deel 15. Deel 24 scoort dit component in DCAM; deel 29 verwerkt het in het transformatieprogramma.</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governance sneuvelt niet op het ontwerp</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 naar de doodgebloede initiatieven; verzamel de oorzaken op het bord</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Normcategorieën, bespreking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versimpelingsdilemma is het zwaartepunt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0:40–1:45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policy als code</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reconstructievraag is de toets</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2:00–2:55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continue verantwoording</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de monitoring op de controls zelf</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2:55–3:45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stewardship op schaal</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opvolgingsafspraak wordt vrijwel altijd overgeslagen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3:45–4:40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de stagnatie vinden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ze zelf zoeken; de combinatie is niet meteen zichtbaar</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4:40–5:00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Normen categoriseren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Vijftien normen ingedeeld, met een verhouding rond de helft structureel, een kwart meetbaar, een kwart inhoudelijk.</w:t>
      </w:r>
    </w:p>
    <w:p>
      <w:pPr>
        <w:pStyle w:val="ListParagraph"/>
        <w:numPr>
          <w:ilvl w:val="0"/>
          <w:numId w:val="2"/>
        </w:numPr>
        <w:spacing w:after="70" w:line="280"/>
      </w:pPr>
      <w:r>
        <w:rPr>
          <w:rFonts w:ascii="Calibri" w:cs="Calibri" w:eastAsia="Calibri" w:hAnsi="Calibri"/>
          <w:color w:val="0E1A1C"/>
          <w:sz w:val="21"/>
          <w:szCs w:val="21"/>
        </w:rPr>
        <w:t xml:space="preserve">De drie verleidelijk versimpelbare normen herkend, met een beschrijving van wat er verloren gaat.</w:t>
      </w:r>
    </w:p>
    <w:p>
      <w:pPr>
        <w:pStyle w:val="ListParagraph"/>
        <w:numPr>
          <w:ilvl w:val="0"/>
          <w:numId w:val="2"/>
        </w:numPr>
        <w:spacing w:after="70" w:line="280"/>
      </w:pPr>
      <w:r>
        <w:rPr>
          <w:rFonts w:ascii="Calibri" w:cs="Calibri" w:eastAsia="Calibri" w:hAnsi="Calibri"/>
          <w:color w:val="0E1A1C"/>
          <w:sz w:val="21"/>
          <w:szCs w:val="21"/>
        </w:rPr>
        <w:t xml:space="preserve">Borging van het inhoudelijke deel via steekproef, review of periodieke beoordeling — met een frequentie erbij.</w:t>
      </w:r>
    </w:p>
    <w:p>
      <w:pPr>
        <w:pStyle w:val="ListParagraph"/>
        <w:numPr>
          <w:ilvl w:val="0"/>
          <w:numId w:val="2"/>
        </w:numPr>
        <w:spacing w:after="70" w:line="280"/>
      </w:pPr>
      <w:r>
        <w:rPr>
          <w:rFonts w:ascii="Calibri" w:cs="Calibri" w:eastAsia="Calibri" w:hAnsi="Calibri"/>
          <w:color w:val="0E1A1C"/>
          <w:sz w:val="21"/>
          <w:szCs w:val="21"/>
        </w:rPr>
        <w:t xml:space="preserve">Een eerlijk oordeel over waar het programma zijn aandacht nu op richt.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Alles structureel verklaren. Vraag hoe je controleert of een definitie de júiste is.</w:t>
      </w:r>
    </w:p>
    <w:p>
      <w:pPr>
        <w:pStyle w:val="ListParagraph"/>
        <w:numPr>
          <w:ilvl w:val="0"/>
          <w:numId w:val="2"/>
        </w:numPr>
        <w:spacing w:after="70" w:line="280"/>
      </w:pPr>
      <w:r>
        <w:rPr>
          <w:rFonts w:ascii="Calibri" w:cs="Calibri" w:eastAsia="Calibri" w:hAnsi="Calibri"/>
          <w:color w:val="0E1A1C"/>
          <w:sz w:val="21"/>
          <w:szCs w:val="21"/>
        </w:rPr>
        <w:t xml:space="preserve">De inhoudelijke normen benoemen zonder borging; dan verdwijnen ze alsnog.</w:t>
      </w:r>
    </w:p>
    <w:p>
      <w:pPr>
        <w:pStyle w:val="ListParagraph"/>
        <w:numPr>
          <w:ilvl w:val="0"/>
          <w:numId w:val="2"/>
        </w:numPr>
        <w:spacing w:after="70" w:line="280"/>
      </w:pPr>
      <w:r>
        <w:rPr>
          <w:rFonts w:ascii="Calibri" w:cs="Calibri" w:eastAsia="Calibri" w:hAnsi="Calibri"/>
          <w:color w:val="0E1A1C"/>
          <w:sz w:val="21"/>
          <w:szCs w:val="21"/>
        </w:rPr>
        <w:t xml:space="preserve">De verhouding niet berekenen; dan blijft het een indeling zonder conclusie.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norm zou jij versimpelen om hem automatiseerbaar te maken? En wat verlies je dan?</w:t>
            </w:r>
          </w:p>
        </w:tc>
      </w:tr>
    </w:tbl>
    <w:p>
      <w:pPr>
        <w:pStyle w:val="Heading2"/>
        <w:spacing w:after="140" w:before="340"/>
      </w:pPr>
      <w:r>
        <w:rPr>
          <w:rFonts w:ascii="Cambria" w:cs="Cambria" w:eastAsia="Cambria" w:hAnsi="Cambria"/>
          <w:b/>
          <w:bCs/>
          <w:color w:val="0E1A1C"/>
          <w:sz w:val="26"/>
          <w:szCs w:val="26"/>
        </w:rPr>
        <w:t xml:space="preserve">Opdracht 2 — Policy in natuurlijke taal</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Positieve formulering: wat moet waar zijn.</w:t>
      </w:r>
    </w:p>
    <w:p>
      <w:pPr>
        <w:pStyle w:val="ListParagraph"/>
        <w:numPr>
          <w:ilvl w:val="0"/>
          <w:numId w:val="2"/>
        </w:numPr>
        <w:spacing w:after="70" w:line="280"/>
      </w:pPr>
      <w:r>
        <w:rPr>
          <w:rFonts w:ascii="Calibri" w:cs="Calibri" w:eastAsia="Calibri" w:hAnsi="Calibri"/>
          <w:color w:val="0E1A1C"/>
          <w:sz w:val="21"/>
          <w:szCs w:val="21"/>
        </w:rPr>
        <w:t xml:space="preserve">Een toetsmoment dat past bij de norm — bij toegang voor classificatie, bij publicatie voor eigenaarschap.</w:t>
      </w:r>
    </w:p>
    <w:p>
      <w:pPr>
        <w:pStyle w:val="ListParagraph"/>
        <w:numPr>
          <w:ilvl w:val="0"/>
          <w:numId w:val="2"/>
        </w:numPr>
        <w:spacing w:after="70" w:line="280"/>
      </w:pPr>
      <w:r>
        <w:rPr>
          <w:rFonts w:ascii="Calibri" w:cs="Calibri" w:eastAsia="Calibri" w:hAnsi="Calibri"/>
          <w:color w:val="0E1A1C"/>
          <w:sz w:val="21"/>
          <w:szCs w:val="21"/>
        </w:rPr>
        <w:t xml:space="preserve">Het gevolg als businessbesluit, met de beslisser erbij.</w:t>
      </w:r>
    </w:p>
    <w:p>
      <w:pPr>
        <w:pStyle w:val="ListParagraph"/>
        <w:numPr>
          <w:ilvl w:val="0"/>
          <w:numId w:val="2"/>
        </w:numPr>
        <w:spacing w:after="70" w:line="280"/>
      </w:pPr>
      <w:r>
        <w:rPr>
          <w:rFonts w:ascii="Calibri" w:cs="Calibri" w:eastAsia="Calibri" w:hAnsi="Calibri"/>
          <w:color w:val="0E1A1C"/>
          <w:sz w:val="21"/>
          <w:szCs w:val="21"/>
        </w:rPr>
        <w:t xml:space="preserve">Een uitzonderingsroute met termijn en eigenaar bij elke norm.</w:t>
      </w:r>
    </w:p>
    <w:p>
      <w:pPr>
        <w:pStyle w:val="ListParagraph"/>
        <w:numPr>
          <w:ilvl w:val="0"/>
          <w:numId w:val="2"/>
        </w:numPr>
        <w:spacing w:after="70" w:line="280"/>
      </w:pPr>
      <w:r>
        <w:rPr>
          <w:rFonts w:ascii="Calibri" w:cs="Calibri" w:eastAsia="Calibri" w:hAnsi="Calibri"/>
          <w:color w:val="0E1A1C"/>
          <w:sz w:val="21"/>
          <w:szCs w:val="21"/>
        </w:rPr>
        <w:t xml:space="preserve">Een beschrijving van de schaduwroute die zonder uitzonderingsroute ontstaat.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Negatief formuleren: "het is verboden om". Dat is niet toetsbaar.</w:t>
      </w:r>
    </w:p>
    <w:p>
      <w:pPr>
        <w:pStyle w:val="ListParagraph"/>
        <w:numPr>
          <w:ilvl w:val="0"/>
          <w:numId w:val="2"/>
        </w:numPr>
        <w:spacing w:after="70" w:line="280"/>
      </w:pPr>
      <w:r>
        <w:rPr>
          <w:rFonts w:ascii="Calibri" w:cs="Calibri" w:eastAsia="Calibri" w:hAnsi="Calibri"/>
          <w:color w:val="0E1A1C"/>
          <w:sz w:val="21"/>
          <w:szCs w:val="21"/>
        </w:rPr>
        <w:t xml:space="preserve">Alles op blokkeren zetten. Vraag wat er dan stilvalt.</w:t>
      </w:r>
    </w:p>
    <w:p>
      <w:pPr>
        <w:pStyle w:val="ListParagraph"/>
        <w:numPr>
          <w:ilvl w:val="0"/>
          <w:numId w:val="2"/>
        </w:numPr>
        <w:spacing w:after="70" w:line="280"/>
      </w:pPr>
      <w:r>
        <w:rPr>
          <w:rFonts w:ascii="Calibri" w:cs="Calibri" w:eastAsia="Calibri" w:hAnsi="Calibri"/>
          <w:color w:val="0E1A1C"/>
          <w:sz w:val="21"/>
          <w:szCs w:val="21"/>
        </w:rPr>
        <w:t xml:space="preserve">De uitzonderingsroute overslaan omdat hij "misbruik uitlokt". Zonder route ontstaat de omweg buiten je zicht.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gebeurt er in jouw organisatie als iemand niet aan een norm kan voldoen en er geen route is?</w:t>
            </w:r>
          </w:p>
        </w:tc>
      </w:tr>
    </w:tbl>
    <w:p>
      <w:pPr>
        <w:pStyle w:val="Heading2"/>
        <w:spacing w:after="140" w:before="340"/>
      </w:pPr>
      <w:r>
        <w:rPr>
          <w:rFonts w:ascii="Cambria" w:cs="Cambria" w:eastAsia="Cambria" w:hAnsi="Cambria"/>
          <w:b/>
          <w:bCs/>
          <w:color w:val="0E1A1C"/>
          <w:sz w:val="26"/>
          <w:szCs w:val="26"/>
        </w:rPr>
        <w:t xml:space="preserve">Opdracht 3 — Policy als code ontwerpen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Vijf policies met alle vijf elementen, inclusief versie.</w:t>
      </w:r>
    </w:p>
    <w:p>
      <w:pPr>
        <w:pStyle w:val="ListParagraph"/>
        <w:numPr>
          <w:ilvl w:val="0"/>
          <w:numId w:val="2"/>
        </w:numPr>
        <w:spacing w:after="70" w:line="280"/>
      </w:pPr>
      <w:r>
        <w:rPr>
          <w:rFonts w:ascii="Calibri" w:cs="Calibri" w:eastAsia="Calibri" w:hAnsi="Calibri"/>
          <w:color w:val="0E1A1C"/>
          <w:sz w:val="21"/>
          <w:szCs w:val="21"/>
        </w:rPr>
        <w:t xml:space="preserve">Leesbare conditie in pseudocode; werkende code is niet het doel.</w:t>
      </w:r>
    </w:p>
    <w:p>
      <w:pPr>
        <w:pStyle w:val="ListParagraph"/>
        <w:numPr>
          <w:ilvl w:val="0"/>
          <w:numId w:val="2"/>
        </w:numPr>
        <w:spacing w:after="70" w:line="280"/>
      </w:pPr>
      <w:r>
        <w:rPr>
          <w:rFonts w:ascii="Calibri" w:cs="Calibri" w:eastAsia="Calibri" w:hAnsi="Calibri"/>
          <w:color w:val="0E1A1C"/>
          <w:sz w:val="21"/>
          <w:szCs w:val="21"/>
        </w:rPr>
        <w:t xml:space="preserve">Beheer en wijzigingsrecht belegd, gescheiden van elkaar.</w:t>
      </w:r>
    </w:p>
    <w:p>
      <w:pPr>
        <w:pStyle w:val="ListParagraph"/>
        <w:numPr>
          <w:ilvl w:val="0"/>
          <w:numId w:val="2"/>
        </w:numPr>
        <w:spacing w:after="70" w:line="280"/>
      </w:pPr>
      <w:r>
        <w:rPr>
          <w:rFonts w:ascii="Calibri" w:cs="Calibri" w:eastAsia="Calibri" w:hAnsi="Calibri"/>
          <w:color w:val="0E1A1C"/>
          <w:sz w:val="21"/>
          <w:szCs w:val="21"/>
        </w:rPr>
        <w:t xml:space="preserve">Een wijzigingsproces dat de stappen uit deel 13 volgt, inclusief communicatie.</w:t>
      </w:r>
    </w:p>
    <w:p>
      <w:pPr>
        <w:pStyle w:val="ListParagraph"/>
        <w:numPr>
          <w:ilvl w:val="0"/>
          <w:numId w:val="2"/>
        </w:numPr>
        <w:spacing w:after="70" w:line="280"/>
      </w:pPr>
      <w:r>
        <w:rPr>
          <w:rFonts w:ascii="Calibri" w:cs="Calibri" w:eastAsia="Calibri" w:hAnsi="Calibri"/>
          <w:color w:val="0E1A1C"/>
          <w:sz w:val="21"/>
          <w:szCs w:val="21"/>
        </w:rPr>
        <w:t xml:space="preserve">Een reconstructiescenario dat laat zien welke norm gold bij een bevinding van twee jaar geleden.</w:t>
      </w:r>
    </w:p>
    <w:p>
      <w:pPr>
        <w:pStyle w:val="ListParagraph"/>
        <w:numPr>
          <w:ilvl w:val="0"/>
          <w:numId w:val="2"/>
        </w:numPr>
        <w:spacing w:after="70" w:line="280"/>
      </w:pPr>
      <w:r>
        <w:rPr>
          <w:rFonts w:ascii="Calibri" w:cs="Calibri" w:eastAsia="Calibri" w:hAnsi="Calibri"/>
          <w:color w:val="0E1A1C"/>
          <w:sz w:val="21"/>
          <w:szCs w:val="21"/>
        </w:rPr>
        <w:t xml:space="preserve">Een oordeel over de werkbaarheid bij negen domeinen met ongelijke volwassenheid.</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Versiebeheer weglaten. Dan is elke historische bevinding onbeoordeelbaar.</w:t>
      </w:r>
    </w:p>
    <w:p>
      <w:pPr>
        <w:pStyle w:val="ListParagraph"/>
        <w:numPr>
          <w:ilvl w:val="0"/>
          <w:numId w:val="2"/>
        </w:numPr>
        <w:spacing w:after="70" w:line="280"/>
      </w:pPr>
      <w:r>
        <w:rPr>
          <w:rFonts w:ascii="Calibri" w:cs="Calibri" w:eastAsia="Calibri" w:hAnsi="Calibri"/>
          <w:color w:val="0E1A1C"/>
          <w:sz w:val="21"/>
          <w:szCs w:val="21"/>
        </w:rPr>
        <w:t xml:space="preserve">Beheer en wijzigingsrecht bij dezelfde persoon beleggen.</w:t>
      </w:r>
    </w:p>
    <w:p>
      <w:pPr>
        <w:pStyle w:val="ListParagraph"/>
        <w:numPr>
          <w:ilvl w:val="0"/>
          <w:numId w:val="2"/>
        </w:numPr>
        <w:spacing w:after="70" w:line="280"/>
      </w:pPr>
      <w:r>
        <w:rPr>
          <w:rFonts w:ascii="Calibri" w:cs="Calibri" w:eastAsia="Calibri" w:hAnsi="Calibri"/>
          <w:color w:val="0E1A1C"/>
          <w:sz w:val="21"/>
          <w:szCs w:val="21"/>
        </w:rPr>
        <w:t xml:space="preserve">Aannemen dat wat bij drie domeinen werkt, bij negen ook werkt.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Een auditor vraagt naar een bevinding uit 2024. Welke norm gold toen? Kun je dat aantonen?</w:t>
            </w:r>
          </w:p>
        </w:tc>
      </w:tr>
    </w:tbl>
    <w:p>
      <w:pPr>
        <w:pStyle w:val="Heading2"/>
        <w:spacing w:after="140" w:before="340"/>
      </w:pPr>
      <w:r>
        <w:rPr>
          <w:rFonts w:ascii="Cambria" w:cs="Cambria" w:eastAsia="Cambria" w:hAnsi="Cambria"/>
          <w:b/>
          <w:bCs/>
          <w:color w:val="0E1A1C"/>
          <w:sz w:val="26"/>
          <w:szCs w:val="26"/>
        </w:rPr>
        <w:t xml:space="preserve">Opdracht 4 — Continue verantwoording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Controlregister met eigenaar, frequentie, laatste uitvoering én laatste uitkomst.</w:t>
      </w:r>
    </w:p>
    <w:p>
      <w:pPr>
        <w:pStyle w:val="ListParagraph"/>
        <w:numPr>
          <w:ilvl w:val="0"/>
          <w:numId w:val="2"/>
        </w:numPr>
        <w:spacing w:after="70" w:line="280"/>
      </w:pPr>
      <w:r>
        <w:rPr>
          <w:rFonts w:ascii="Calibri" w:cs="Calibri" w:eastAsia="Calibri" w:hAnsi="Calibri"/>
          <w:color w:val="0E1A1C"/>
          <w:sz w:val="21"/>
          <w:szCs w:val="21"/>
        </w:rPr>
        <w:t xml:space="preserve">Bewijs dat ook het dráaien registreert, niet alleen de uitkomst.</w:t>
      </w:r>
    </w:p>
    <w:p>
      <w:pPr>
        <w:pStyle w:val="ListParagraph"/>
        <w:numPr>
          <w:ilvl w:val="0"/>
          <w:numId w:val="2"/>
        </w:numPr>
        <w:spacing w:after="70" w:line="280"/>
      </w:pPr>
      <w:r>
        <w:rPr>
          <w:rFonts w:ascii="Calibri" w:cs="Calibri" w:eastAsia="Calibri" w:hAnsi="Calibri"/>
          <w:color w:val="0E1A1C"/>
          <w:sz w:val="21"/>
          <w:szCs w:val="21"/>
        </w:rPr>
        <w:t xml:space="preserve">Monitoring op de controls zelf — het punt dat het vaakst wordt gemist.</w:t>
      </w:r>
    </w:p>
    <w:p>
      <w:pPr>
        <w:pStyle w:val="ListParagraph"/>
        <w:numPr>
          <w:ilvl w:val="0"/>
          <w:numId w:val="2"/>
        </w:numPr>
        <w:spacing w:after="70" w:line="280"/>
      </w:pPr>
      <w:r>
        <w:rPr>
          <w:rFonts w:ascii="Calibri" w:cs="Calibri" w:eastAsia="Calibri" w:hAnsi="Calibri"/>
          <w:color w:val="0E1A1C"/>
          <w:sz w:val="21"/>
          <w:szCs w:val="21"/>
        </w:rPr>
        <w:t xml:space="preserve">Uitzonderingenregister met vervaldatum per waiver.</w:t>
      </w:r>
    </w:p>
    <w:p>
      <w:pPr>
        <w:pStyle w:val="ListParagraph"/>
        <w:numPr>
          <w:ilvl w:val="0"/>
          <w:numId w:val="2"/>
        </w:numPr>
        <w:spacing w:after="70" w:line="280"/>
      </w:pPr>
      <w:r>
        <w:rPr>
          <w:rFonts w:ascii="Calibri" w:cs="Calibri" w:eastAsia="Calibri" w:hAnsi="Calibri"/>
          <w:color w:val="0E1A1C"/>
          <w:sz w:val="21"/>
          <w:szCs w:val="21"/>
        </w:rPr>
        <w:t xml:space="preserve">Een concrete beschrijving van wat een toezichthouder hiermee extra ziet.</w:t>
      </w:r>
    </w:p>
    <w:p>
      <w:pPr>
        <w:pStyle w:val="ListParagraph"/>
        <w:numPr>
          <w:ilvl w:val="0"/>
          <w:numId w:val="2"/>
        </w:numPr>
        <w:spacing w:after="70" w:line="280"/>
      </w:pPr>
      <w:r>
        <w:rPr>
          <w:rFonts w:ascii="Calibri" w:cs="Calibri" w:eastAsia="Calibri" w:hAnsi="Calibri"/>
          <w:color w:val="0E1A1C"/>
          <w:sz w:val="21"/>
          <w:szCs w:val="21"/>
        </w:rPr>
        <w:t xml:space="preserve">Een inspanningsvergelijking met een omslagpunt.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uitkomsten bewaren. Dan kun je niet aantonen dat de control heeft gedraaid.</w:t>
      </w:r>
    </w:p>
    <w:p>
      <w:pPr>
        <w:pStyle w:val="ListParagraph"/>
        <w:numPr>
          <w:ilvl w:val="0"/>
          <w:numId w:val="2"/>
        </w:numPr>
        <w:spacing w:after="70" w:line="280"/>
      </w:pPr>
      <w:r>
        <w:rPr>
          <w:rFonts w:ascii="Calibri" w:cs="Calibri" w:eastAsia="Calibri" w:hAnsi="Calibri"/>
          <w:color w:val="0E1A1C"/>
          <w:sz w:val="21"/>
          <w:szCs w:val="21"/>
        </w:rPr>
        <w:t xml:space="preserve">De monitoring op de controls overslaan; een control valt stil in stilte.</w:t>
      </w:r>
    </w:p>
    <w:p>
      <w:pPr>
        <w:pStyle w:val="ListParagraph"/>
        <w:numPr>
          <w:ilvl w:val="0"/>
          <w:numId w:val="2"/>
        </w:numPr>
        <w:spacing w:after="70" w:line="280"/>
      </w:pPr>
      <w:r>
        <w:rPr>
          <w:rFonts w:ascii="Calibri" w:cs="Calibri" w:eastAsia="Calibri" w:hAnsi="Calibri"/>
          <w:color w:val="0E1A1C"/>
          <w:sz w:val="21"/>
          <w:szCs w:val="21"/>
        </w:rPr>
        <w:t xml:space="preserve">Waivers zonder vervaldatum — dezelfde fout als in deel 16.</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Wie merkt het als control nummer zeven drie maanden niet heeft gedraaid?</w:t>
            </w:r>
          </w:p>
        </w:tc>
      </w:tr>
    </w:tbl>
    <w:p>
      <w:pPr>
        <w:pStyle w:val="Heading2"/>
        <w:spacing w:after="140" w:before="340"/>
      </w:pPr>
      <w:r>
        <w:rPr>
          <w:rFonts w:ascii="Cambria" w:cs="Cambria" w:eastAsia="Cambria" w:hAnsi="Cambria"/>
          <w:b/>
          <w:bCs/>
          <w:color w:val="0E1A1C"/>
          <w:sz w:val="26"/>
          <w:szCs w:val="26"/>
        </w:rPr>
        <w:t xml:space="preserve">Opdracht 5 — Stewardship op schaal</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Negen domeinen met uren en competentieniveau, met de ongelijkheid benoemd.</w:t>
      </w:r>
    </w:p>
    <w:p>
      <w:pPr>
        <w:pStyle w:val="ListParagraph"/>
        <w:numPr>
          <w:ilvl w:val="0"/>
          <w:numId w:val="2"/>
        </w:numPr>
        <w:spacing w:after="70" w:line="280"/>
      </w:pPr>
      <w:r>
        <w:rPr>
          <w:rFonts w:ascii="Calibri" w:cs="Calibri" w:eastAsia="Calibri" w:hAnsi="Calibri"/>
          <w:color w:val="0E1A1C"/>
          <w:sz w:val="21"/>
          <w:szCs w:val="21"/>
        </w:rPr>
        <w:t xml:space="preserve">Een opleidingslijn met een aanwijsbare begeleider en een tijdsbeslag.</w:t>
      </w:r>
    </w:p>
    <w:p>
      <w:pPr>
        <w:pStyle w:val="ListParagraph"/>
        <w:numPr>
          <w:ilvl w:val="0"/>
          <w:numId w:val="2"/>
        </w:numPr>
        <w:spacing w:after="70" w:line="280"/>
      </w:pPr>
      <w:r>
        <w:rPr>
          <w:rFonts w:ascii="Calibri" w:cs="Calibri" w:eastAsia="Calibri" w:hAnsi="Calibri"/>
          <w:color w:val="0E1A1C"/>
          <w:sz w:val="21"/>
          <w:szCs w:val="21"/>
        </w:rPr>
        <w:t xml:space="preserve">Een opvolgingsafspraak met overnemer, overdracht en termijn.</w:t>
      </w:r>
    </w:p>
    <w:p>
      <w:pPr>
        <w:pStyle w:val="ListParagraph"/>
        <w:numPr>
          <w:ilvl w:val="0"/>
          <w:numId w:val="2"/>
        </w:numPr>
        <w:spacing w:after="70" w:line="280"/>
      </w:pPr>
      <w:r>
        <w:rPr>
          <w:rFonts w:ascii="Calibri" w:cs="Calibri" w:eastAsia="Calibri" w:hAnsi="Calibri"/>
          <w:color w:val="0E1A1C"/>
          <w:sz w:val="21"/>
          <w:szCs w:val="21"/>
        </w:rPr>
        <w:t xml:space="preserve">Een gemeenschap met ritme en agenda, expliciet zonder besluitrecht.</w:t>
      </w:r>
    </w:p>
    <w:p>
      <w:pPr>
        <w:pStyle w:val="ListParagraph"/>
        <w:numPr>
          <w:ilvl w:val="0"/>
          <w:numId w:val="2"/>
        </w:numPr>
        <w:spacing w:after="70" w:line="280"/>
      </w:pPr>
      <w:r>
        <w:rPr>
          <w:rFonts w:ascii="Calibri" w:cs="Calibri" w:eastAsia="Calibri" w:hAnsi="Calibri"/>
          <w:color w:val="0E1A1C"/>
          <w:sz w:val="21"/>
          <w:szCs w:val="21"/>
        </w:rPr>
        <w:t xml:space="preserve">Een formulering om verschil te benoemen zonder het als falen te presenteren.</w:t>
      </w:r>
    </w:p>
    <w:p>
      <w:pPr>
        <w:pStyle w:val="ListParagraph"/>
        <w:numPr>
          <w:ilvl w:val="0"/>
          <w:numId w:val="2"/>
        </w:numPr>
        <w:spacing w:after="70" w:line="280"/>
      </w:pPr>
      <w:r>
        <w:rPr>
          <w:rFonts w:ascii="Calibri" w:cs="Calibri" w:eastAsia="Calibri" w:hAnsi="Calibri"/>
          <w:color w:val="0E1A1C"/>
          <w:sz w:val="21"/>
          <w:szCs w:val="21"/>
        </w:rPr>
        <w:t xml:space="preserve">Het scenario van drie gelijktijdige wisselingen doorgedacht.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opvolgingsafspraak overslaan. Vraag wat er gebeurt als de sterkste steward volgende maand promotie maakt.</w:t>
      </w:r>
    </w:p>
    <w:p>
      <w:pPr>
        <w:pStyle w:val="ListParagraph"/>
        <w:numPr>
          <w:ilvl w:val="0"/>
          <w:numId w:val="2"/>
        </w:numPr>
        <w:spacing w:after="70" w:line="280"/>
      </w:pPr>
      <w:r>
        <w:rPr>
          <w:rFonts w:ascii="Calibri" w:cs="Calibri" w:eastAsia="Calibri" w:hAnsi="Calibri"/>
          <w:color w:val="0E1A1C"/>
          <w:sz w:val="21"/>
          <w:szCs w:val="21"/>
        </w:rPr>
        <w:t xml:space="preserve">De gemeenschap besluitrecht geven; dan wordt het een orgaan en verdwijnt de leerfunctie.</w:t>
      </w:r>
    </w:p>
    <w:p>
      <w:pPr>
        <w:pStyle w:val="ListParagraph"/>
        <w:numPr>
          <w:ilvl w:val="0"/>
          <w:numId w:val="2"/>
        </w:numPr>
        <w:spacing w:after="70" w:line="280"/>
      </w:pPr>
      <w:r>
        <w:rPr>
          <w:rFonts w:ascii="Calibri" w:cs="Calibri" w:eastAsia="Calibri" w:hAnsi="Calibri"/>
          <w:color w:val="0E1A1C"/>
          <w:sz w:val="21"/>
          <w:szCs w:val="21"/>
        </w:rPr>
        <w:t xml:space="preserve">Verschil tussen domeinen niet benoemen uit angst voor afrekening.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Drie stewards wisselen tegelijk van functie. Wat is er over zes maanden nog over van hun domeinen?</w:t>
            </w:r>
          </w:p>
        </w:tc>
      </w:tr>
    </w:tbl>
    <w:p>
      <w:pPr>
        <w:pStyle w:val="Heading2"/>
        <w:spacing w:after="140" w:before="340"/>
      </w:pPr>
      <w:r>
        <w:rPr>
          <w:rFonts w:ascii="Cambria" w:cs="Cambria" w:eastAsia="Cambria" w:hAnsi="Cambria"/>
          <w:b/>
          <w:bCs/>
          <w:color w:val="0E1A1C"/>
          <w:sz w:val="26"/>
          <w:szCs w:val="26"/>
        </w:rPr>
        <w:t xml:space="preserve">Opdracht 6 — De stagnatie vinden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vlakke kwaliteitsscore vanaf kwartaal zeven gevonden, tegenover stijgende procesindicatoren.</w:t>
      </w:r>
    </w:p>
    <w:p>
      <w:pPr>
        <w:pStyle w:val="ListParagraph"/>
        <w:numPr>
          <w:ilvl w:val="0"/>
          <w:numId w:val="2"/>
        </w:numPr>
        <w:spacing w:after="70" w:line="280"/>
      </w:pPr>
      <w:r>
        <w:rPr>
          <w:rFonts w:ascii="Calibri" w:cs="Calibri" w:eastAsia="Calibri" w:hAnsi="Calibri"/>
          <w:color w:val="0E1A1C"/>
          <w:sz w:val="21"/>
          <w:szCs w:val="21"/>
        </w:rPr>
        <w:t xml:space="preserve">De langzaam dalende controluitvoering opgemerkt — dat is de tweede, subtielere vondst.</w:t>
      </w:r>
    </w:p>
    <w:p>
      <w:pPr>
        <w:pStyle w:val="ListParagraph"/>
        <w:numPr>
          <w:ilvl w:val="0"/>
          <w:numId w:val="2"/>
        </w:numPr>
        <w:spacing w:after="70" w:line="280"/>
      </w:pPr>
      <w:r>
        <w:rPr>
          <w:rFonts w:ascii="Calibri" w:cs="Calibri" w:eastAsia="Calibri" w:hAnsi="Calibri"/>
          <w:color w:val="0E1A1C"/>
          <w:sz w:val="21"/>
          <w:szCs w:val="21"/>
        </w:rPr>
        <w:t xml:space="preserve">De diagnose expliciet: het programma meet zichzelf.</w:t>
      </w:r>
    </w:p>
    <w:p>
      <w:pPr>
        <w:pStyle w:val="ListParagraph"/>
        <w:numPr>
          <w:ilvl w:val="0"/>
          <w:numId w:val="2"/>
        </w:numPr>
        <w:spacing w:after="70" w:line="280"/>
      </w:pPr>
      <w:r>
        <w:rPr>
          <w:rFonts w:ascii="Calibri" w:cs="Calibri" w:eastAsia="Calibri" w:hAnsi="Calibri"/>
          <w:color w:val="0E1A1C"/>
          <w:sz w:val="21"/>
          <w:szCs w:val="21"/>
        </w:rPr>
        <w:t xml:space="preserve">De aanwijzing welke indicator als eerste had moeten alarmeren, met de reden waarom niemand het zag.</w:t>
      </w:r>
    </w:p>
    <w:p>
      <w:pPr>
        <w:pStyle w:val="ListParagraph"/>
        <w:numPr>
          <w:ilvl w:val="0"/>
          <w:numId w:val="2"/>
        </w:numPr>
        <w:spacing w:after="70" w:line="280"/>
      </w:pPr>
      <w:r>
        <w:rPr>
          <w:rFonts w:ascii="Calibri" w:cs="Calibri" w:eastAsia="Calibri" w:hAnsi="Calibri"/>
          <w:color w:val="0E1A1C"/>
          <w:sz w:val="21"/>
          <w:szCs w:val="21"/>
        </w:rPr>
        <w:t xml:space="preserve">Een ingreep die bij het besluitrecht aangrijpt in plaats van bij de meting.</w:t>
      </w:r>
    </w:p>
    <w:p>
      <w:pPr>
        <w:pStyle w:val="ListParagraph"/>
        <w:numPr>
          <w:ilvl w:val="0"/>
          <w:numId w:val="2"/>
        </w:numPr>
        <w:spacing w:after="70" w:line="280"/>
      </w:pPr>
      <w:r>
        <w:rPr>
          <w:rFonts w:ascii="Calibri" w:cs="Calibri" w:eastAsia="Calibri" w:hAnsi="Calibri"/>
          <w:color w:val="0E1A1C"/>
          <w:sz w:val="21"/>
          <w:szCs w:val="21"/>
        </w:rPr>
        <w:t xml:space="preserve">Een boardformulering die de stagnatie meldt vóórdat de board hem zelf ziet.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naar de uitkomstmaat kijken en de dalende controluitvoering missen.</w:t>
      </w:r>
    </w:p>
    <w:p>
      <w:pPr>
        <w:pStyle w:val="ListParagraph"/>
        <w:numPr>
          <w:ilvl w:val="0"/>
          <w:numId w:val="2"/>
        </w:numPr>
        <w:spacing w:after="70" w:line="280"/>
      </w:pPr>
      <w:r>
        <w:rPr>
          <w:rFonts w:ascii="Calibri" w:cs="Calibri" w:eastAsia="Calibri" w:hAnsi="Calibri"/>
          <w:color w:val="0E1A1C"/>
          <w:sz w:val="21"/>
          <w:szCs w:val="21"/>
        </w:rPr>
        <w:t xml:space="preserve">De ingreep bij de meting leggen: "we gaan beter meten". Er wordt al gemeten.</w:t>
      </w:r>
    </w:p>
    <w:p>
      <w:pPr>
        <w:pStyle w:val="ListParagraph"/>
        <w:numPr>
          <w:ilvl w:val="0"/>
          <w:numId w:val="2"/>
        </w:numPr>
        <w:spacing w:after="70" w:line="280"/>
      </w:pPr>
      <w:r>
        <w:rPr>
          <w:rFonts w:ascii="Calibri" w:cs="Calibri" w:eastAsia="Calibri" w:hAnsi="Calibri"/>
          <w:color w:val="0E1A1C"/>
          <w:sz w:val="21"/>
          <w:szCs w:val="21"/>
        </w:rPr>
        <w:t xml:space="preserve">De board pas informeren als er om wordt gevraagd.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Alles gaat goed behalve de uitkomst. Wat betekent dat, en wat zeg je tegen de board?</w:t>
            </w:r>
          </w:p>
        </w:tc>
      </w:tr>
    </w:tbl>
    <w:p>
      <w:pPr>
        <w:pStyle w:val="Heading2"/>
        <w:spacing w:after="140" w:before="340"/>
      </w:pPr>
      <w:r>
        <w:rPr>
          <w:rFonts w:ascii="Cambria" w:cs="Cambria" w:eastAsia="Cambria" w:hAnsi="Cambria"/>
          <w:b/>
          <w:bCs/>
          <w:color w:val="0E1A1C"/>
          <w:sz w:val="26"/>
          <w:szCs w:val="26"/>
        </w:rPr>
        <w:t xml:space="preserve">Opdracht 7 — Cultuurinterventie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eerlijke diagnose van het eigen initiatief, met een oorzaak die afwijkt van wat destijds werd aangenomen.</w:t>
      </w:r>
    </w:p>
    <w:p>
      <w:pPr>
        <w:pStyle w:val="ListParagraph"/>
        <w:numPr>
          <w:ilvl w:val="0"/>
          <w:numId w:val="2"/>
        </w:numPr>
        <w:spacing w:after="70" w:line="280"/>
      </w:pPr>
      <w:r>
        <w:rPr>
          <w:rFonts w:ascii="Calibri" w:cs="Calibri" w:eastAsia="Calibri" w:hAnsi="Calibri"/>
          <w:color w:val="0E1A1C"/>
          <w:sz w:val="21"/>
          <w:szCs w:val="21"/>
        </w:rPr>
        <w:t xml:space="preserve">Het inzicht dat de destijds ingezette interventie op het verkeerde aangreep — meestal een campagne bij een mandaatprobleem.</w:t>
      </w:r>
    </w:p>
    <w:p>
      <w:pPr>
        <w:pStyle w:val="ListParagraph"/>
        <w:numPr>
          <w:ilvl w:val="0"/>
          <w:numId w:val="2"/>
        </w:numPr>
        <w:spacing w:after="70" w:line="280"/>
      </w:pPr>
      <w:r>
        <w:rPr>
          <w:rFonts w:ascii="Calibri" w:cs="Calibri" w:eastAsia="Calibri" w:hAnsi="Calibri"/>
          <w:color w:val="0E1A1C"/>
          <w:sz w:val="21"/>
          <w:szCs w:val="21"/>
        </w:rPr>
        <w:t xml:space="preserve">Drie interventies voor de gefuseerde organisatie, met per stuk het aangrijpingspunt.</w:t>
      </w:r>
    </w:p>
    <w:p>
      <w:pPr>
        <w:pStyle w:val="ListParagraph"/>
        <w:numPr>
          <w:ilvl w:val="0"/>
          <w:numId w:val="2"/>
        </w:numPr>
        <w:spacing w:after="70" w:line="280"/>
      </w:pPr>
      <w:r>
        <w:rPr>
          <w:rFonts w:ascii="Calibri" w:cs="Calibri" w:eastAsia="Calibri" w:hAnsi="Calibri"/>
          <w:color w:val="0E1A1C"/>
          <w:sz w:val="21"/>
          <w:szCs w:val="21"/>
        </w:rPr>
        <w:t xml:space="preserve">De zichtbaarheidsinterventie volledig uitgewerkt, inclusief de maatregel tegen afrekening.</w:t>
      </w:r>
    </w:p>
    <w:p>
      <w:pPr>
        <w:pStyle w:val="ListParagraph"/>
        <w:numPr>
          <w:ilvl w:val="0"/>
          <w:numId w:val="2"/>
        </w:numPr>
        <w:spacing w:after="70" w:line="280"/>
      </w:pPr>
      <w:r>
        <w:rPr>
          <w:rFonts w:ascii="Calibri" w:cs="Calibri" w:eastAsia="Calibri" w:hAnsi="Calibri"/>
          <w:color w:val="0E1A1C"/>
          <w:sz w:val="21"/>
          <w:szCs w:val="21"/>
        </w:rPr>
        <w:t xml:space="preserve">Een expliciete uitspraak over wat je doet als een directeur hem toch als ranglijst gebruikt.</w:t>
      </w:r>
    </w:p>
    <w:p>
      <w:pPr>
        <w:pStyle w:val="ListParagraph"/>
        <w:numPr>
          <w:ilvl w:val="0"/>
          <w:numId w:val="2"/>
        </w:numPr>
        <w:spacing w:after="70" w:line="280"/>
      </w:pPr>
      <w:r>
        <w:rPr>
          <w:rFonts w:ascii="Calibri" w:cs="Calibri" w:eastAsia="Calibri" w:hAnsi="Calibri"/>
          <w:color w:val="0E1A1C"/>
          <w:sz w:val="21"/>
          <w:szCs w:val="21"/>
        </w:rPr>
        <w:t xml:space="preserve">Eén interventie bewust niet ingezet, met argument.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Concluderen dat het initiatief strandde op onwetendheid. Dat is het zelden.</w:t>
      </w:r>
    </w:p>
    <w:p>
      <w:pPr>
        <w:pStyle w:val="ListParagraph"/>
        <w:numPr>
          <w:ilvl w:val="0"/>
          <w:numId w:val="2"/>
        </w:numPr>
        <w:spacing w:after="70" w:line="280"/>
      </w:pPr>
      <w:r>
        <w:rPr>
          <w:rFonts w:ascii="Calibri" w:cs="Calibri" w:eastAsia="Calibri" w:hAnsi="Calibri"/>
          <w:color w:val="0E1A1C"/>
          <w:sz w:val="21"/>
          <w:szCs w:val="21"/>
        </w:rPr>
        <w:t xml:space="preserve">De zichtbaarheidsinterventie inzetten zonder de afrekeningsmaatregel.</w:t>
      </w:r>
    </w:p>
    <w:p>
      <w:pPr>
        <w:pStyle w:val="ListParagraph"/>
        <w:numPr>
          <w:ilvl w:val="0"/>
          <w:numId w:val="2"/>
        </w:numPr>
        <w:spacing w:after="70" w:line="280"/>
      </w:pPr>
      <w:r>
        <w:rPr>
          <w:rFonts w:ascii="Calibri" w:cs="Calibri" w:eastAsia="Calibri" w:hAnsi="Calibri"/>
          <w:color w:val="0E1A1C"/>
          <w:sz w:val="21"/>
          <w:szCs w:val="21"/>
        </w:rPr>
        <w:t xml:space="preserve">Een communicatiecampagne opnemen als serieuze interventie.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Waarop strandde jouw initiatief werkelijk — en greep de gekozen interventie daarop aan?</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Wat verschuift er werkelijk bij de overgang naar federatieve governance?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macht, plus de kennis die verdunt en de ongelijkheid die zichtbaar wordt.</w:t>
      </w:r>
    </w:p>
    <w:p>
      <w:pPr>
        <w:spacing w:after="40" w:line="275"/>
        <w:ind w:left="420"/>
      </w:pPr>
      <w:r>
        <w:rPr>
          <w:rFonts w:ascii="Calibri" w:cs="Calibri" w:eastAsia="Calibri" w:hAnsi="Calibri"/>
          <w:color w:val="5F7375"/>
          <w:sz w:val="19"/>
          <w:szCs w:val="19"/>
        </w:rPr>
        <w:t xml:space="preserve">Bestuurders schrikken van de zichtbare ongelijkheid en concluderen soms ten onrechte dat federatief niet werkt.</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Waarom is het eerste jaar na een fusie ongeschikt voor federatieve governance?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Domeinen weten nog niet wat er van hen wordt verwacht en hebben de capaciteit niet.</w:t>
      </w:r>
    </w:p>
    <w:p>
      <w:pPr>
        <w:spacing w:after="40" w:line="275"/>
        <w:ind w:left="420"/>
      </w:pPr>
      <w:r>
        <w:rPr>
          <w:rFonts w:ascii="Calibri" w:cs="Calibri" w:eastAsia="Calibri" w:hAnsi="Calibri"/>
          <w:color w:val="5F7375"/>
          <w:sz w:val="19"/>
          <w:szCs w:val="19"/>
        </w:rPr>
        <w:t xml:space="preserve">Begin centraal op de gedeelde normen en word federatief zodra de domeinen stabiel zijn.</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Welke normcategorie is niet in code af te dwingen?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Inhoudelijk</w:t>
      </w:r>
    </w:p>
    <w:p>
      <w:pPr>
        <w:spacing w:after="40" w:line="275"/>
        <w:ind w:left="420"/>
      </w:pPr>
      <w:r>
        <w:rPr>
          <w:rFonts w:ascii="Calibri" w:cs="Calibri" w:eastAsia="Calibri" w:hAnsi="Calibri"/>
          <w:color w:val="5F7375"/>
          <w:sz w:val="19"/>
          <w:szCs w:val="19"/>
        </w:rPr>
        <w:t xml:space="preserve">Je kunt controleren dát er een definitie is, niet of hij klopt. Dat kwart is waar de waarde zit.</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Wat is het risico van een inhoudelijke norm versimpelen tot een structurele?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Je meet dan of er iets is in plaats van of het klopt — en dat verschil verdwijnt uit het zicht.</w:t>
      </w:r>
    </w:p>
    <w:p>
      <w:pPr>
        <w:spacing w:after="40" w:line="275"/>
        <w:ind w:left="420"/>
      </w:pPr>
      <w:r>
        <w:rPr>
          <w:rFonts w:ascii="Calibri" w:cs="Calibri" w:eastAsia="Calibri" w:hAnsi="Calibri"/>
          <w:color w:val="5F7375"/>
          <w:sz w:val="19"/>
          <w:szCs w:val="19"/>
        </w:rPr>
        <w:t xml:space="preserve">De verleiding is groot omdat automatiseren tastbaarder voelt dan beoordelen.</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Wat gebeurt er zonder uitzonderingsroute bij een policy?</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Er ontstaat een schaduwroute buiten het platform om, buiten je zicht.</w:t>
      </w:r>
    </w:p>
    <w:p>
      <w:pPr>
        <w:spacing w:after="40" w:line="275"/>
        <w:ind w:left="420"/>
      </w:pPr>
      <w:r>
        <w:rPr>
          <w:rFonts w:ascii="Calibri" w:cs="Calibri" w:eastAsia="Calibri" w:hAnsi="Calibri"/>
          <w:color w:val="5F7375"/>
          <w:sz w:val="19"/>
          <w:szCs w:val="19"/>
        </w:rPr>
        <w:t xml:space="preserve">Een geregistreerde uitzondering is beter dan een onzichtbare omweg.</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Wat is het argument voor continue verantwoording dat een board begrijpt?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toezichthouder ziet de werking van de beheersing over het hele jaar in plaats van een momentopname.</w:t>
      </w:r>
    </w:p>
    <w:p>
      <w:pPr>
        <w:spacing w:after="40" w:line="275"/>
        <w:ind w:left="420"/>
      </w:pPr>
      <w:r>
        <w:rPr>
          <w:rFonts w:ascii="Calibri" w:cs="Calibri" w:eastAsia="Calibri" w:hAnsi="Calibri"/>
          <w:color w:val="5F7375"/>
          <w:sz w:val="19"/>
          <w:szCs w:val="19"/>
        </w:rPr>
        <w:t xml:space="preserve">Dat is het verschil tussen een bevinding en een gesprek.</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Wat is de meest voorkomende manier waarop federatieve governance verwatert?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steward wisselt van functie en wordt niet vervangen; met hem verdwijnt de kennis van zijn domein.</w:t>
      </w:r>
    </w:p>
    <w:p>
      <w:pPr>
        <w:spacing w:after="40" w:line="275"/>
        <w:ind w:left="420"/>
      </w:pPr>
      <w:r>
        <w:rPr>
          <w:rFonts w:ascii="Calibri" w:cs="Calibri" w:eastAsia="Calibri" w:hAnsi="Calibri"/>
          <w:color w:val="5F7375"/>
          <w:sz w:val="19"/>
          <w:szCs w:val="19"/>
        </w:rPr>
        <w:t xml:space="preserve">Bij negen stewards wisselt er elk jaar minstens één. De opvolgingsafspraak is de goedkoopste tegenmaatregel.</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Welke KPI-combinatie is het gevaarlijkst?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Procesindicatoren stijgen terwijl de uitkomstmaat vlak blijft.</w:t>
      </w:r>
    </w:p>
    <w:p>
      <w:pPr>
        <w:spacing w:after="40" w:line="275"/>
        <w:ind w:left="420"/>
      </w:pPr>
      <w:r>
        <w:rPr>
          <w:rFonts w:ascii="Calibri" w:cs="Calibri" w:eastAsia="Calibri" w:hAnsi="Calibri"/>
          <w:color w:val="5F7375"/>
          <w:sz w:val="19"/>
          <w:szCs w:val="19"/>
        </w:rPr>
        <w:t xml:space="preserve">Dat betekent dat het programma zichzelf meet in plaats van het probleem — en bij de eerste bezuiniging verdwijnt het budget.</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Welke cultuurinterventie verandert gedrag het snelst?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Zichtbaar maken van verschillen tussen domeinen</w:t>
      </w:r>
    </w:p>
    <w:p>
      <w:pPr>
        <w:spacing w:after="40" w:line="275"/>
        <w:ind w:left="420"/>
      </w:pPr>
      <w:r>
        <w:rPr>
          <w:rFonts w:ascii="Calibri" w:cs="Calibri" w:eastAsia="Calibri" w:hAnsi="Calibri"/>
          <w:color w:val="5F7375"/>
          <w:sz w:val="19"/>
          <w:szCs w:val="19"/>
        </w:rPr>
        <w:t xml:space="preserve">Sociale vergelijking werkt binnen een kwartaal — zolang het als informatie wordt gepresenteerd en niet als ranglijst.</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Wanneer slaat de zichtbaarheidsinterventie om?</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Zodra domeinen hun cijfers gaan beheren in plaats van hun data.</w:t>
      </w:r>
    </w:p>
    <w:p>
      <w:pPr>
        <w:spacing w:after="40" w:line="275"/>
        <w:ind w:left="420"/>
      </w:pPr>
      <w:r>
        <w:rPr>
          <w:rFonts w:ascii="Calibri" w:cs="Calibri" w:eastAsia="Calibri" w:hAnsi="Calibri"/>
          <w:color w:val="5F7375"/>
          <w:sz w:val="19"/>
          <w:szCs w:val="19"/>
        </w:rPr>
        <w:t xml:space="preserve">Ontwerp vooraf wat je dan doet; achteraf is het vertrouwen weg.</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Waarom duurt de stap van niveau 3 naar 4 zo lang?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is een gedragsvraagstuk: er wordt gemeten en er gebeurt niets met de meting.</w:t>
      </w:r>
    </w:p>
    <w:p>
      <w:pPr>
        <w:spacing w:after="40" w:line="275"/>
        <w:ind w:left="420"/>
      </w:pPr>
      <w:r>
        <w:rPr>
          <w:rFonts w:ascii="Calibri" w:cs="Calibri" w:eastAsia="Calibri" w:hAnsi="Calibri"/>
          <w:color w:val="5F7375"/>
          <w:sz w:val="19"/>
          <w:szCs w:val="19"/>
        </w:rPr>
        <w:t xml:space="preserve">Dat is geen meetprobleem maar een besluitrechtprobleem. Kijk naar je escalatiepaden, niet naar je dashboard.</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Wat doe je met een uitfaserend legacysysteem waar niemand meer eigenaar van wil zijn?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Toch een owner aanwijzen met een lichter regime, functionaliteit bevriezen, en de uitfaseringsvoorwaarde vastleggen.</w:t>
      </w:r>
    </w:p>
    <w:p>
      <w:pPr>
        <w:spacing w:after="40" w:line="275"/>
        <w:ind w:left="420"/>
      </w:pPr>
      <w:r>
        <w:rPr>
          <w:rFonts w:ascii="Calibri" w:cs="Calibri" w:eastAsia="Calibri" w:hAnsi="Calibri"/>
          <w:color w:val="5F7375"/>
          <w:sz w:val="19"/>
          <w:szCs w:val="19"/>
        </w:rPr>
        <w:t xml:space="preserve">Geen eigenaar is geen optie zolang er persoonsgegevens in staan. Zonder uitfaseringsvoorwaarde blijft het jaren staan.</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federatieve governance een eindtoestand of een fase tussen centraal en decentraal?</w:t>
      </w:r>
    </w:p>
    <w:p>
      <w:pPr>
        <w:pStyle w:val="ListParagraph"/>
        <w:numPr>
          <w:ilvl w:val="0"/>
          <w:numId w:val="3"/>
        </w:numPr>
        <w:spacing w:after="70" w:line="280"/>
      </w:pPr>
      <w:r>
        <w:rPr>
          <w:rFonts w:ascii="Calibri" w:cs="Calibri" w:eastAsia="Calibri" w:hAnsi="Calibri"/>
          <w:color w:val="0E1A1C"/>
          <w:sz w:val="21"/>
          <w:szCs w:val="21"/>
        </w:rPr>
        <w:t xml:space="preserve">Mag je domeinen naast elkaar zetten in een overzicht, wetend dat het als ranglijst wordt gelezen?</w:t>
      </w:r>
    </w:p>
    <w:p>
      <w:pPr>
        <w:pStyle w:val="ListParagraph"/>
        <w:numPr>
          <w:ilvl w:val="0"/>
          <w:numId w:val="3"/>
        </w:numPr>
        <w:spacing w:after="70" w:line="280"/>
      </w:pPr>
      <w:r>
        <w:rPr>
          <w:rFonts w:ascii="Calibri" w:cs="Calibri" w:eastAsia="Calibri" w:hAnsi="Calibri"/>
          <w:color w:val="0E1A1C"/>
          <w:sz w:val="21"/>
          <w:szCs w:val="21"/>
        </w:rPr>
        <w:t xml:space="preserve">Wie is verantwoordelijk als een programma sterft aan stagnatie: de programmamanager of de board?</w:t>
      </w:r>
    </w:p>
    <w:p>
      <w:pPr>
        <w:pStyle w:val="ListParagraph"/>
        <w:numPr>
          <w:ilvl w:val="0"/>
          <w:numId w:val="3"/>
        </w:numPr>
        <w:spacing w:after="70" w:line="280"/>
      </w:pPr>
      <w:r>
        <w:rPr>
          <w:rFonts w:ascii="Calibri" w:cs="Calibri" w:eastAsia="Calibri" w:hAnsi="Calibri"/>
          <w:color w:val="0E1A1C"/>
          <w:sz w:val="21"/>
          <w:szCs w:val="21"/>
        </w:rPr>
        <w:t xml:space="preserve">Kan een organisatie op niveau 4 komen zonder dat er iemand is die durft te escaleren?</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3 een policy ontwerpen voor een norm die op het eerste gezicht inhoudelijk is, en de grens bepalen van wat wél afdwingbaar is.</w:t>
      </w:r>
    </w:p>
    <w:p>
      <w:pPr>
        <w:pStyle w:val="ListParagraph"/>
        <w:numPr>
          <w:ilvl w:val="0"/>
          <w:numId w:val="2"/>
        </w:numPr>
        <w:spacing w:after="70" w:line="280"/>
      </w:pPr>
      <w:r>
        <w:rPr>
          <w:rFonts w:ascii="Calibri" w:cs="Calibri" w:eastAsia="Calibri" w:hAnsi="Calibri"/>
          <w:color w:val="0E1A1C"/>
          <w:sz w:val="21"/>
          <w:szCs w:val="21"/>
        </w:rPr>
        <w:t xml:space="preserve">Vraag om bij opdracht 6 een prognose te maken: waar staat het programma over vier kwartalen bij ongewijzigd beleid?</w:t>
      </w:r>
    </w:p>
    <w:p>
      <w:pPr>
        <w:pStyle w:val="ListParagraph"/>
        <w:numPr>
          <w:ilvl w:val="0"/>
          <w:numId w:val="2"/>
        </w:numPr>
        <w:spacing w:after="70" w:line="280"/>
      </w:pPr>
      <w:r>
        <w:rPr>
          <w:rFonts w:ascii="Calibri" w:cs="Calibri" w:eastAsia="Calibri" w:hAnsi="Calibri"/>
          <w:color w:val="0E1A1C"/>
          <w:sz w:val="21"/>
          <w:szCs w:val="21"/>
        </w:rPr>
        <w:t xml:space="preserve">Laat opdracht 5 uitbreiden met een scenario waarin het centrale team van uitvoerder naar enabler moet, met de personele consequenties.</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1 tot acht normen.</w:t>
      </w:r>
    </w:p>
    <w:p>
      <w:pPr>
        <w:pStyle w:val="ListParagraph"/>
        <w:numPr>
          <w:ilvl w:val="0"/>
          <w:numId w:val="2"/>
        </w:numPr>
        <w:spacing w:after="70" w:line="280"/>
      </w:pPr>
      <w:r>
        <w:rPr>
          <w:rFonts w:ascii="Calibri" w:cs="Calibri" w:eastAsia="Calibri" w:hAnsi="Calibri"/>
          <w:color w:val="0E1A1C"/>
          <w:sz w:val="21"/>
          <w:szCs w:val="21"/>
        </w:rPr>
        <w:t xml:space="preserve">Geef bij opdracht 3 twee uitgewerkte policies voor; de overige drie zijn dan de oefening.</w:t>
      </w:r>
    </w:p>
    <w:p>
      <w:pPr>
        <w:pStyle w:val="ListParagraph"/>
        <w:numPr>
          <w:ilvl w:val="0"/>
          <w:numId w:val="2"/>
        </w:numPr>
        <w:spacing w:after="70" w:line="280"/>
      </w:pPr>
      <w:r>
        <w:rPr>
          <w:rFonts w:ascii="Calibri" w:cs="Calibri" w:eastAsia="Calibri" w:hAnsi="Calibri"/>
          <w:color w:val="0E1A1C"/>
          <w:sz w:val="21"/>
          <w:szCs w:val="21"/>
        </w:rPr>
        <w:t xml:space="preserve">Wijs bij opdracht 6 de vlakke uitkomstmaat aan; het zoeken naar de dalende controluitvoering is dan de oefening.</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federatief altijd beter dan centraal?"</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Federatief werkt alleen als domeinen weten wat er van hen wordt verwacht en de capaciteit hebben. Anders levert het divergentie op.</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governance kun je automatiseren?"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Ongeveer driekwart, als vuistregel. Het resterende kwart is waar de waarde zit en waar de meeste programma's hun aandacht niet op richten.</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lang duurt de stap van 3 naar 4?"</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 tot vier jaar, en de meeste organisaties komen er niet — niet omdat ze niet meten, maar omdat er niets met de meting gebeurt.</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"Werkt een communicatiecampagne echt nooit?"</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Zelden. Hij impliceert dat het probleem onwetendheid is, en dat is het vrijwel nooit. Meestal is het tijd, mandaat of prikkel.</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en geen lid-aanbieder van de EDM Association;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25 — Federatieve governance op schaal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Federatieve governance op schaal — Docentenhandleiding</dc:title>
  <dc:creator>Ductus B.V.</dc:creator>
  <dc:description>Cursusmateriaal datamanagement, data-analyse en data governance</dc:description>
  <cp:lastModifiedBy>Un-named</cp:lastModifiedBy>
  <cp:revision>1</cp:revision>
  <dcterms:created xsi:type="dcterms:W3CDTF">2026-08-05T13:01:41.227Z</dcterms:created>
  <dcterms:modified xsi:type="dcterms:W3CDTF">2026-08-05T13:01:41.227Z</dcterms:modified>
</cp:coreProperties>
</file>

<file path=docProps/custom.xml><?xml version="1.0" encoding="utf-8"?>
<Properties xmlns="http://schemas.openxmlformats.org/officeDocument/2006/custom-properties" xmlns:vt="http://schemas.openxmlformats.org/officeDocument/2006/docPropsVTypes"/>
</file>