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25</w:t>
      </w:r>
    </w:p>
    <w:p>
      <w:pPr>
        <w:spacing w:after="120"/>
      </w:pPr>
      <w:r>
        <w:rPr>
          <w:rFonts w:ascii="Cambria" w:cs="Cambria" w:eastAsia="Cambria" w:hAnsi="Cambria"/>
          <w:b/>
          <w:bCs/>
          <w:color w:val="0E1A1C"/>
          <w:sz w:val="56"/>
          <w:szCs w:val="56"/>
        </w:rPr>
        <w:t xml:space="preserve">Federatieve governance op schaal</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DCAM · controle en volwassenheid</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en Nautilus, twaalf maanden na de fusie</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De fusie is een jaar geleden voltrokken. De architectuurkeuzes uit deel 22 zijn genomen, het platform uit deel 23 is gekozen, en er staat een governance-inrichting op papier die beide organisaties omvat. En nu begint het echte werk: het volhouden.</w:t>
      </w:r>
    </w:p>
    <w:p>
      <w:pPr>
        <w:spacing w:after="140" w:line="288"/>
      </w:pPr>
      <w:r>
        <w:rPr>
          <w:rFonts w:ascii="Calibri" w:cs="Calibri" w:eastAsia="Calibri" w:hAnsi="Calibri"/>
          <w:color w:val="0E1A1C"/>
          <w:sz w:val="21"/>
          <w:szCs w:val="21"/>
        </w:rPr>
        <w:t xml:space="preserve">Dit deel gaat over governance die overeind blijft zonder programma, over negen domeinen in plaats van vijf, met twee culturen en een board die na de fusiekosten weinig geduld heeft. Het onderscheidt zich van deel 16 op één punt: daar ontwierp je een inrichting, hier zorg je dat zij over drie jaar nog werkt.</w:t>
      </w:r>
    </w:p>
    <w:p>
      <w:pPr>
        <w:spacing w:after="140" w:line="288"/>
      </w:pPr>
      <w:r>
        <w:rPr>
          <w:rFonts w:ascii="Calibri" w:cs="Calibri" w:eastAsia="Calibri" w:hAnsi="Calibri"/>
          <w:color w:val="0E1A1C"/>
          <w:sz w:val="21"/>
          <w:szCs w:val="21"/>
        </w:rPr>
        <w:t xml:space="preserve">De ongemakkelijke waarheid van dit deel is dat governance vrijwel nooit sneuvelt op het ontwerp. Zij sneuvelt op de vierde maand waarin de domeinraad geen quorum haalt, op de steward die van functie wisselt en niet wordt vervangen, en op de KPI die twee jaar op hetzelfde niveau staat zonder dat iemand het bespreekt.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benoemt wat er werkelijk verandert bij de overgang van centrale naar federatieve governance.</w:t>
      </w:r>
    </w:p>
    <w:p>
      <w:pPr>
        <w:pStyle w:val="ListParagraph"/>
        <w:numPr>
          <w:ilvl w:val="0"/>
          <w:numId w:val="2"/>
        </w:numPr>
        <w:spacing w:after="70" w:line="280"/>
      </w:pPr>
      <w:r>
        <w:rPr>
          <w:rFonts w:ascii="Calibri" w:cs="Calibri" w:eastAsia="Calibri" w:hAnsi="Calibri"/>
          <w:color w:val="0E1A1C"/>
          <w:sz w:val="21"/>
          <w:szCs w:val="21"/>
        </w:rPr>
        <w:t xml:space="preserve">Je onderscheidt normen die in code zijn af te dwingen van normen die dat niet zijn, en borgt beide.</w:t>
      </w:r>
    </w:p>
    <w:p>
      <w:pPr>
        <w:pStyle w:val="ListParagraph"/>
        <w:numPr>
          <w:ilvl w:val="0"/>
          <w:numId w:val="2"/>
        </w:numPr>
        <w:spacing w:after="70" w:line="280"/>
      </w:pPr>
      <w:r>
        <w:rPr>
          <w:rFonts w:ascii="Calibri" w:cs="Calibri" w:eastAsia="Calibri" w:hAnsi="Calibri"/>
          <w:color w:val="0E1A1C"/>
          <w:sz w:val="21"/>
          <w:szCs w:val="21"/>
        </w:rPr>
        <w:t xml:space="preserve">Je ontwerpt continue verantwoording in plaats van periodieke audit.</w:t>
      </w:r>
    </w:p>
    <w:p>
      <w:pPr>
        <w:pStyle w:val="ListParagraph"/>
        <w:numPr>
          <w:ilvl w:val="0"/>
          <w:numId w:val="2"/>
        </w:numPr>
        <w:spacing w:after="70" w:line="280"/>
      </w:pPr>
      <w:r>
        <w:rPr>
          <w:rFonts w:ascii="Calibri" w:cs="Calibri" w:eastAsia="Calibri" w:hAnsi="Calibri"/>
          <w:color w:val="0E1A1C"/>
          <w:sz w:val="21"/>
          <w:szCs w:val="21"/>
        </w:rPr>
        <w:t xml:space="preserve">Je richt decentrale stewardship in met aandacht voor competentie en opvolging.</w:t>
      </w:r>
    </w:p>
    <w:p>
      <w:pPr>
        <w:pStyle w:val="ListParagraph"/>
        <w:numPr>
          <w:ilvl w:val="0"/>
          <w:numId w:val="2"/>
        </w:numPr>
        <w:spacing w:after="70" w:line="280"/>
      </w:pPr>
      <w:r>
        <w:rPr>
          <w:rFonts w:ascii="Calibri" w:cs="Calibri" w:eastAsia="Calibri" w:hAnsi="Calibri"/>
          <w:color w:val="0E1A1C"/>
          <w:sz w:val="21"/>
          <w:szCs w:val="21"/>
        </w:rPr>
        <w:t xml:space="preserve">Je stelt een meerjarige KPI-set op en herkent stagnatie voordat het programma sterft.</w:t>
      </w:r>
    </w:p>
    <w:p>
      <w:pPr>
        <w:pStyle w:val="ListParagraph"/>
        <w:numPr>
          <w:ilvl w:val="0"/>
          <w:numId w:val="2"/>
        </w:numPr>
        <w:spacing w:after="70" w:line="280"/>
      </w:pPr>
      <w:r>
        <w:rPr>
          <w:rFonts w:ascii="Calibri" w:cs="Calibri" w:eastAsia="Calibri" w:hAnsi="Calibri"/>
          <w:color w:val="0E1A1C"/>
          <w:sz w:val="21"/>
          <w:szCs w:val="21"/>
        </w:rPr>
        <w:t xml:space="preserve">Je ontwerpt een cultuurinterventie die op gedrag aangrijpt in plaats van op houding.</w:t>
      </w:r>
    </w:p>
    <w:p>
      <w:pPr>
        <w:pStyle w:val="ListParagraph"/>
        <w:numPr>
          <w:ilvl w:val="0"/>
          <w:numId w:val="2"/>
        </w:numPr>
        <w:spacing w:after="70" w:line="280"/>
      </w:pPr>
      <w:r>
        <w:rPr>
          <w:rFonts w:ascii="Calibri" w:cs="Calibri" w:eastAsia="Calibri" w:hAnsi="Calibri"/>
          <w:color w:val="0E1A1C"/>
          <w:sz w:val="21"/>
          <w:szCs w:val="21"/>
        </w:rPr>
        <w:t xml:space="preserve">Je beheert governance over legacy en nieuw platform tegelijk, zonder dat de legacy vervalt tot niemandsland.</w:t>
      </w:r>
    </w:p>
    <w:p>
      <w:r>
        <w:br w:type="page"/>
      </w:r>
    </w:p>
    <w:p>
      <w:pPr>
        <w:pStyle w:val="Heading1"/>
        <w:spacing w:after="200" w:before="420"/>
      </w:pPr>
      <w:r>
        <w:rPr>
          <w:rFonts w:ascii="Cambria" w:cs="Cambria" w:eastAsia="Cambria" w:hAnsi="Cambria"/>
          <w:b/>
          <w:bCs/>
          <w:color w:val="1B4A48"/>
          <w:sz w:val="34"/>
          <w:szCs w:val="34"/>
        </w:rPr>
        <w:t xml:space="preserve">2. Van centraal naar federatief</w:t>
      </w:r>
    </w:p>
    <w:p>
      <w:pPr>
        <w:spacing w:after="140" w:line="288"/>
      </w:pPr>
      <w:r>
        <w:rPr>
          <w:rFonts w:ascii="Calibri" w:cs="Calibri" w:eastAsia="Calibri" w:hAnsi="Calibri"/>
          <w:color w:val="0E1A1C"/>
          <w:sz w:val="21"/>
          <w:szCs w:val="21"/>
        </w:rPr>
        <w:t xml:space="preserve">Federatief betekent centrale normstelling met decentrale uitvoering. Dat klinkt als een verdeling van werk en is in werkelijkheid een verschuiving van macht — en dat is de reden dat de overgang zelden soepel verloopt.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300"/>
        <w:gridCol w:w="37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Centraal</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Federatief</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stelt de norm</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team</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orgaan, met domeinen aan tafel</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voert uit</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team</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domeinen, zelfstandig</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merkt een overtreding</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team, achteraf</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systeem, direct — of niemand</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zit de kennis</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klein team, diep</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Verspreid, ondieper, kwetsbaarder</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Grootste risico</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Bottleneck en vervreemding</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Divergentie en ongelijke kwaliteit</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Drie dingen die verschuiven en die zelden worden benoemd</w:t>
      </w:r>
    </w:p>
    <w:p>
      <w:pPr>
        <w:pStyle w:val="ListParagraph"/>
        <w:numPr>
          <w:ilvl w:val="0"/>
          <w:numId w:val="3"/>
        </w:numPr>
        <w:spacing w:after="70" w:line="280"/>
      </w:pPr>
      <w:r>
        <w:rPr>
          <w:rFonts w:ascii="Calibri" w:cs="Calibri" w:eastAsia="Calibri" w:hAnsi="Calibri"/>
          <w:color w:val="0E1A1C"/>
          <w:sz w:val="21"/>
          <w:szCs w:val="21"/>
        </w:rPr>
        <w:t xml:space="preserve">De kennis verdunt. Waar één centraal team alles wist, weten negen domeinen elk een deel. Dat is de bedoeling, en het betekent dat een fout in een domein niet meer door een collega wordt opgemerkt.</w:t>
      </w:r>
    </w:p>
    <w:p>
      <w:pPr>
        <w:pStyle w:val="ListParagraph"/>
        <w:numPr>
          <w:ilvl w:val="0"/>
          <w:numId w:val="3"/>
        </w:numPr>
        <w:spacing w:after="70" w:line="280"/>
      </w:pPr>
      <w:r>
        <w:rPr>
          <w:rFonts w:ascii="Calibri" w:cs="Calibri" w:eastAsia="Calibri" w:hAnsi="Calibri"/>
          <w:color w:val="0E1A1C"/>
          <w:sz w:val="21"/>
          <w:szCs w:val="21"/>
        </w:rPr>
        <w:t xml:space="preserve">De ongelijkheid wordt zichtbaar. Sommige domeinen doen het goed, andere niet, en dat verschil was in een centraal model verborgen. Bestuurders schrikken hiervan en concluderen soms ten onrechte dat federatief niet werkt.</w:t>
      </w:r>
    </w:p>
    <w:p>
      <w:pPr>
        <w:pStyle w:val="ListParagraph"/>
        <w:numPr>
          <w:ilvl w:val="0"/>
          <w:numId w:val="3"/>
        </w:numPr>
        <w:spacing w:after="70" w:line="280"/>
      </w:pPr>
      <w:r>
        <w:rPr>
          <w:rFonts w:ascii="Calibri" w:cs="Calibri" w:eastAsia="Calibri" w:hAnsi="Calibri"/>
          <w:color w:val="0E1A1C"/>
          <w:sz w:val="21"/>
          <w:szCs w:val="21"/>
        </w:rPr>
        <w:t xml:space="preserve">Het centrale team verandert van uitvoerder in enabler. Dat is een andere rol, met andere mensen — en de bestaande medewerkers zijn er niet vanzelfsprekend geschikt voor. Dat gesprek wordt vrijwel nooit tijdig gevoerd.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veelgemaakte fout bij een fusie</w:t>
            </w:r>
          </w:p>
          <w:p>
            <w:pPr>
              <w:spacing w:after="60" w:line="280"/>
            </w:pPr>
            <w:r>
              <w:rPr>
                <w:rFonts w:ascii="Calibri" w:cs="Calibri" w:eastAsia="Calibri" w:hAnsi="Calibri"/>
                <w:color w:val="0E1A1C"/>
                <w:sz w:val="20"/>
                <w:szCs w:val="20"/>
              </w:rPr>
              <w:t xml:space="preserve">Het federatieve model invoeren op het moment dat twee organisaties nog aan elkaar moeten wennen. Federatief werkt alleen als domeinen weten wat er van hen wordt verwacht en de capaciteit hebben om het te leveren. In het eerste jaar na een fusie is geen van beide waar. De verstandige route is centraal beginnen op de gedeelde normen en pas federatief worden zodra de domeinen stabiel zijn.</w:t>
            </w:r>
          </w:p>
        </w:tc>
      </w:tr>
    </w:tbl>
    <w:p>
      <w:pPr>
        <w:pStyle w:val="Heading1"/>
        <w:spacing w:after="200" w:before="420"/>
      </w:pPr>
      <w:r>
        <w:rPr>
          <w:rFonts w:ascii="Cambria" w:cs="Cambria" w:eastAsia="Cambria" w:hAnsi="Cambria"/>
          <w:b/>
          <w:bCs/>
          <w:color w:val="1B4A48"/>
          <w:sz w:val="34"/>
          <w:szCs w:val="34"/>
        </w:rPr>
        <w:t xml:space="preserve">3. Governance as code</w:t>
      </w:r>
    </w:p>
    <w:p>
      <w:pPr>
        <w:spacing w:after="140" w:line="288"/>
      </w:pPr>
      <w:r>
        <w:rPr>
          <w:rFonts w:ascii="Calibri" w:cs="Calibri" w:eastAsia="Calibri" w:hAnsi="Calibri"/>
          <w:color w:val="0E1A1C"/>
          <w:sz w:val="21"/>
          <w:szCs w:val="21"/>
        </w:rPr>
        <w:t xml:space="preserve">In deel 23 stelde je vast dat je kunt controleren dát er een definitie is, maar niet of hij juist is. Die grens loopt door alles heen. Deel de normen op in drie categorieën.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600"/>
        <w:gridCol w:w="3600"/>
        <w:gridCol w:w="2100"/>
        <w:gridCol w:w="1720"/>
      </w:tblGrid>
      <w:tr>
        <w:trPr>
          <w:tblHeader/>
        </w:trPr>
        <w:tc>
          <w:tcPr>
            <w:tcW w:type="dxa" w:w="1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Categorie</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Afdwingbaar in code</w:t>
            </w:r>
          </w:p>
        </w:tc>
        <w:tc>
          <w:tcPr>
            <w:tcW w:type="dxa" w:w="1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Anders borgen via</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Structureel</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dataset heeft een eigenaar, een classificatie en een bewaartermijn</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volledig</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Meetbaar</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 boven de drempel, actualiteit binnen de norm</w:t>
            </w:r>
          </w:p>
        </w:tc>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met een meting</w:t>
            </w:r>
          </w:p>
        </w:tc>
        <w:tc>
          <w:tcPr>
            <w:tcW w:type="dxa" w:w="1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Escalatie bij overschrijding</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Inhoudelijk</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definitie klopt, de classificatie is passend, het gebruik is verantwoord</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Menselijke beoordeling, steekproef, review</w:t>
            </w:r>
          </w:p>
        </w:tc>
      </w:tr>
    </w:tbl>
    <w:p>
      <w:pPr>
        <w:spacing w:after="140"/>
      </w:pPr>
      <w:r>
        <w:t xml:space="preserve"/>
      </w:r>
    </w:p>
    <w:p>
      <w:pPr>
        <w:spacing w:after="140" w:line="288"/>
      </w:pPr>
      <w:r>
        <w:rPr>
          <w:rFonts w:ascii="Calibri" w:cs="Calibri" w:eastAsia="Calibri" w:hAnsi="Calibri"/>
          <w:color w:val="0E1A1C"/>
          <w:sz w:val="21"/>
          <w:szCs w:val="21"/>
        </w:rPr>
        <w:t xml:space="preserve">De verhouding is bruikbaar als vuistregel: ongeveer de helft van je normen is structureel en dus volledig automatiseerbaar, een kwart is meetbaar, en een kwart is inhoudelijk. Dat laatste kwart is waar de waarde zit en waar de meeste programma’s hun aandacht níét op richten, omdat automatiseren tastbaarder voelt.</w:t>
      </w:r>
    </w:p>
    <w:p>
      <w:pPr>
        <w:pStyle w:val="Heading3"/>
        <w:spacing w:after="100" w:before="240"/>
      </w:pPr>
      <w:r>
        <w:rPr>
          <w:rFonts w:ascii="Calibri" w:cs="Calibri" w:eastAsia="Calibri" w:hAnsi="Calibri"/>
          <w:b/>
          <w:bCs/>
          <w:color w:val="3F7D74"/>
          <w:sz w:val="22"/>
          <w:szCs w:val="22"/>
        </w:rPr>
        <w:t xml:space="preserve">Wat een policy als code minimaal bevat</w:t>
      </w:r>
    </w:p>
    <w:p>
      <w:pPr>
        <w:pStyle w:val="ListParagraph"/>
        <w:numPr>
          <w:ilvl w:val="0"/>
          <w:numId w:val="3"/>
        </w:numPr>
        <w:spacing w:after="70" w:line="280"/>
      </w:pPr>
      <w:r>
        <w:rPr>
          <w:rFonts w:ascii="Calibri" w:cs="Calibri" w:eastAsia="Calibri" w:hAnsi="Calibri"/>
          <w:color w:val="0E1A1C"/>
          <w:sz w:val="21"/>
          <w:szCs w:val="21"/>
        </w:rPr>
        <w:t xml:space="preserve">De regel zelf, in code, met een unieke identificatie — net als de kwaliteitsregels uit deel 15.</w:t>
      </w:r>
    </w:p>
    <w:p>
      <w:pPr>
        <w:pStyle w:val="ListParagraph"/>
        <w:numPr>
          <w:ilvl w:val="0"/>
          <w:numId w:val="3"/>
        </w:numPr>
        <w:spacing w:after="70" w:line="280"/>
      </w:pPr>
      <w:r>
        <w:rPr>
          <w:rFonts w:ascii="Calibri" w:cs="Calibri" w:eastAsia="Calibri" w:hAnsi="Calibri"/>
          <w:color w:val="0E1A1C"/>
          <w:sz w:val="21"/>
          <w:szCs w:val="21"/>
        </w:rPr>
        <w:t xml:space="preserve">Het moment van toetsing: bij publicatie, bij toegang, bij elke verwerking, of periodiek.</w:t>
      </w:r>
    </w:p>
    <w:p>
      <w:pPr>
        <w:pStyle w:val="ListParagraph"/>
        <w:numPr>
          <w:ilvl w:val="0"/>
          <w:numId w:val="3"/>
        </w:numPr>
        <w:spacing w:after="70" w:line="280"/>
      </w:pPr>
      <w:r>
        <w:rPr>
          <w:rFonts w:ascii="Calibri" w:cs="Calibri" w:eastAsia="Calibri" w:hAnsi="Calibri"/>
          <w:color w:val="0E1A1C"/>
          <w:sz w:val="21"/>
          <w:szCs w:val="21"/>
        </w:rPr>
        <w:t xml:space="preserve">Het gevolg bij overtreding: blokkeren, waarschuwen, of registreren. Dat is een businessbesluit, geen instelling.</w:t>
      </w:r>
    </w:p>
    <w:p>
      <w:pPr>
        <w:pStyle w:val="ListParagraph"/>
        <w:numPr>
          <w:ilvl w:val="0"/>
          <w:numId w:val="3"/>
        </w:numPr>
        <w:spacing w:after="70" w:line="280"/>
      </w:pPr>
      <w:r>
        <w:rPr>
          <w:rFonts w:ascii="Calibri" w:cs="Calibri" w:eastAsia="Calibri" w:hAnsi="Calibri"/>
          <w:color w:val="0E1A1C"/>
          <w:sz w:val="21"/>
          <w:szCs w:val="21"/>
        </w:rPr>
        <w:t xml:space="preserve">De uitzonderingsroute, met termijn en eigenaar. Zonder die route ontstaat er een schaduwroute buiten het platform om.</w:t>
      </w:r>
    </w:p>
    <w:p>
      <w:pPr>
        <w:pStyle w:val="ListParagraph"/>
        <w:numPr>
          <w:ilvl w:val="0"/>
          <w:numId w:val="3"/>
        </w:numPr>
        <w:spacing w:after="70" w:line="280"/>
      </w:pPr>
      <w:r>
        <w:rPr>
          <w:rFonts w:ascii="Calibri" w:cs="Calibri" w:eastAsia="Calibri" w:hAnsi="Calibri"/>
          <w:color w:val="0E1A1C"/>
          <w:sz w:val="21"/>
          <w:szCs w:val="21"/>
        </w:rPr>
        <w:t xml:space="preserve">Versiebeheer, zodat je kunt reconstrueren welke norm gold op het moment van een bevinding.</w:t>
      </w:r>
    </w:p>
    <w:p>
      <w:r>
        <w:br w:type="page"/>
      </w:r>
    </w:p>
    <w:p>
      <w:pPr>
        <w:pStyle w:val="Heading1"/>
        <w:spacing w:after="200" w:before="420"/>
      </w:pPr>
      <w:r>
        <w:rPr>
          <w:rFonts w:ascii="Cambria" w:cs="Cambria" w:eastAsia="Cambria" w:hAnsi="Cambria"/>
          <w:b/>
          <w:bCs/>
          <w:color w:val="1B4A48"/>
          <w:sz w:val="34"/>
          <w:szCs w:val="34"/>
        </w:rPr>
        <w:t xml:space="preserve">4. Continue verantwoording</w:t>
      </w:r>
    </w:p>
    <w:p>
      <w:pPr>
        <w:spacing w:after="140" w:line="288"/>
      </w:pPr>
      <w:r>
        <w:rPr>
          <w:rFonts w:ascii="Calibri" w:cs="Calibri" w:eastAsia="Calibri" w:hAnsi="Calibri"/>
          <w:color w:val="0E1A1C"/>
          <w:sz w:val="21"/>
          <w:szCs w:val="21"/>
        </w:rPr>
        <w:t xml:space="preserve">De klassieke verantwoording is periodiek: een audit, een self-assessment, een jaarrapportage. Bij negen domeinen en een toezichthouder die vaker vraagt, is dat te traag en te duur. Continue verantwoording keert het om: het bewijs ontstaat tijdens het werk in plaats van erna.</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3400"/>
        <w:gridCol w:w="32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Periodiek</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Continu</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bewijs ontstaat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de audit, achteraf gereconstrueerd</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Tijdens de verwerking, automatisch</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een bevinding betekent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probleem uit het verleden</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afwijking van nu, met een eigenaar</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Inspanning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Piek rond de audit, weinig ertussen</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Constant en laag, mits ingericht</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de toezichthouder ziet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momentopname</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werking van de beheersing over tijd</w:t>
            </w:r>
          </w:p>
        </w:tc>
      </w:tr>
    </w:tbl>
    <w:p>
      <w:pPr>
        <w:spacing w:after="140"/>
      </w:pPr>
      <w:r>
        <w:t xml:space="preserve"/>
      </w:r>
    </w:p>
    <w:p>
      <w:pPr>
        <w:spacing w:after="140" w:line="288"/>
      </w:pPr>
      <w:r>
        <w:rPr>
          <w:rFonts w:ascii="Calibri" w:cs="Calibri" w:eastAsia="Calibri" w:hAnsi="Calibri"/>
          <w:color w:val="0E1A1C"/>
          <w:sz w:val="21"/>
          <w:szCs w:val="21"/>
        </w:rPr>
        <w:t xml:space="preserve">Dat laatste is het argument dat een board begrijpt. Een toezichthouder die kan zien dat de beheersing het hele jaar heeft gewerkt, stelt andere vragen dan een die alleen een jaarrapportage krijgt. Bij Meridiaan is dat het verschil tussen een bevinding en een gesprek.</w:t>
      </w:r>
    </w:p>
    <w:p>
      <w:pPr>
        <w:pStyle w:val="Heading3"/>
        <w:spacing w:after="100" w:before="240"/>
      </w:pPr>
      <w:r>
        <w:rPr>
          <w:rFonts w:ascii="Calibri" w:cs="Calibri" w:eastAsia="Calibri" w:hAnsi="Calibri"/>
          <w:b/>
          <w:bCs/>
          <w:color w:val="3F7D74"/>
          <w:sz w:val="22"/>
          <w:szCs w:val="22"/>
        </w:rPr>
        <w:t xml:space="preserve">Wat je nodig hebt</w:t>
      </w:r>
    </w:p>
    <w:p>
      <w:pPr>
        <w:pStyle w:val="ListParagraph"/>
        <w:numPr>
          <w:ilvl w:val="0"/>
          <w:numId w:val="4"/>
        </w:numPr>
        <w:spacing w:after="70" w:line="280"/>
      </w:pPr>
      <w:r>
        <w:rPr>
          <w:rFonts w:ascii="Calibri" w:cs="Calibri" w:eastAsia="Calibri" w:hAnsi="Calibri"/>
          <w:color w:val="0E1A1C"/>
          <w:sz w:val="21"/>
          <w:szCs w:val="21"/>
        </w:rPr>
        <w:t xml:space="preserve">Controls die automatisch draaien en zichzelf registreren — de kwaliteitsregels uit deel 15 en de policies uit hoofdstuk 3.</w:t>
      </w:r>
    </w:p>
    <w:p>
      <w:pPr>
        <w:pStyle w:val="ListParagraph"/>
        <w:numPr>
          <w:ilvl w:val="0"/>
          <w:numId w:val="4"/>
        </w:numPr>
        <w:spacing w:after="70" w:line="280"/>
      </w:pPr>
      <w:r>
        <w:rPr>
          <w:rFonts w:ascii="Calibri" w:cs="Calibri" w:eastAsia="Calibri" w:hAnsi="Calibri"/>
          <w:color w:val="0E1A1C"/>
          <w:sz w:val="21"/>
          <w:szCs w:val="21"/>
        </w:rPr>
        <w:t xml:space="preserve">Een register van controls met eigenaar, frequentie en laatste uitvoering.</w:t>
      </w:r>
    </w:p>
    <w:p>
      <w:pPr>
        <w:pStyle w:val="ListParagraph"/>
        <w:numPr>
          <w:ilvl w:val="0"/>
          <w:numId w:val="4"/>
        </w:numPr>
        <w:spacing w:after="70" w:line="280"/>
      </w:pPr>
      <w:r>
        <w:rPr>
          <w:rFonts w:ascii="Calibri" w:cs="Calibri" w:eastAsia="Calibri" w:hAnsi="Calibri"/>
          <w:color w:val="0E1A1C"/>
          <w:sz w:val="21"/>
          <w:szCs w:val="21"/>
        </w:rPr>
        <w:t xml:space="preserve">Bewijs dat wordt bewaard: niet alleen de uitkomst maar ook het feit dat de control heeft gedraaid.</w:t>
      </w:r>
    </w:p>
    <w:p>
      <w:pPr>
        <w:pStyle w:val="ListParagraph"/>
        <w:numPr>
          <w:ilvl w:val="0"/>
          <w:numId w:val="4"/>
        </w:numPr>
        <w:spacing w:after="70" w:line="280"/>
      </w:pPr>
      <w:r>
        <w:rPr>
          <w:rFonts w:ascii="Calibri" w:cs="Calibri" w:eastAsia="Calibri" w:hAnsi="Calibri"/>
          <w:color w:val="0E1A1C"/>
          <w:sz w:val="21"/>
          <w:szCs w:val="21"/>
        </w:rPr>
        <w:t xml:space="preserve">Monitoring op de controls zelf. Een control die stilvalt, valt stil in stilte — dezelfde les als in deel 15.</w:t>
      </w:r>
    </w:p>
    <w:p>
      <w:pPr>
        <w:pStyle w:val="ListParagraph"/>
        <w:numPr>
          <w:ilvl w:val="0"/>
          <w:numId w:val="4"/>
        </w:numPr>
        <w:spacing w:after="70" w:line="280"/>
      </w:pPr>
      <w:r>
        <w:rPr>
          <w:rFonts w:ascii="Calibri" w:cs="Calibri" w:eastAsia="Calibri" w:hAnsi="Calibri"/>
          <w:color w:val="0E1A1C"/>
          <w:sz w:val="21"/>
          <w:szCs w:val="21"/>
        </w:rPr>
        <w:t xml:space="preserve">Een uitzonderingenregister met vervaldatum, zodat waivers niet stilzwijgend beleid worden.</w:t>
      </w:r>
    </w:p>
    <w:p>
      <w:pPr>
        <w:pStyle w:val="Heading1"/>
        <w:spacing w:after="200" w:before="420"/>
      </w:pPr>
      <w:r>
        <w:rPr>
          <w:rFonts w:ascii="Cambria" w:cs="Cambria" w:eastAsia="Cambria" w:hAnsi="Cambria"/>
          <w:b/>
          <w:bCs/>
          <w:color w:val="1B4A48"/>
          <w:sz w:val="34"/>
          <w:szCs w:val="34"/>
        </w:rPr>
        <w:t xml:space="preserve">5. Decentrale stewardship</w:t>
      </w:r>
    </w:p>
    <w:p>
      <w:pPr>
        <w:spacing w:after="140" w:line="288"/>
      </w:pPr>
      <w:r>
        <w:rPr>
          <w:rFonts w:ascii="Calibri" w:cs="Calibri" w:eastAsia="Calibri" w:hAnsi="Calibri"/>
          <w:color w:val="0E1A1C"/>
          <w:sz w:val="21"/>
          <w:szCs w:val="21"/>
        </w:rPr>
        <w:t xml:space="preserve">Negen domeinen betekent negen stewards, en dat is een ander vraagstuk dan vier. Bij vier kun je ze persoonlijk begeleiden; bij negen moet er een systeem zijn.</w:t>
      </w:r>
    </w:p>
    <w:p>
      <w:pPr>
        <w:pStyle w:val="Heading3"/>
        <w:spacing w:after="100" w:before="240"/>
      </w:pPr>
      <w:r>
        <w:rPr>
          <w:rFonts w:ascii="Calibri" w:cs="Calibri" w:eastAsia="Calibri" w:hAnsi="Calibri"/>
          <w:b/>
          <w:bCs/>
          <w:color w:val="3F7D74"/>
          <w:sz w:val="22"/>
          <w:szCs w:val="22"/>
        </w:rPr>
        <w:t xml:space="preserve">Vier zaken die op schaal anders werken</w:t>
      </w:r>
    </w:p>
    <w:p>
      <w:pPr>
        <w:pStyle w:val="ListParagraph"/>
        <w:numPr>
          <w:ilvl w:val="0"/>
          <w:numId w:val="3"/>
        </w:numPr>
        <w:spacing w:after="70" w:line="280"/>
      </w:pPr>
      <w:r>
        <w:rPr>
          <w:rFonts w:ascii="Calibri" w:cs="Calibri" w:eastAsia="Calibri" w:hAnsi="Calibri"/>
          <w:color w:val="0E1A1C"/>
          <w:sz w:val="21"/>
          <w:szCs w:val="21"/>
        </w:rPr>
        <w:t xml:space="preserve">Competentie. Bij vier stewards selecteer je op geschiktheid; bij negen krijg je wie er beschikbaar is. Er is dus een opleidings- en begeleidingslijn nodig, en die kost structureel tijd.</w:t>
      </w:r>
    </w:p>
    <w:p>
      <w:pPr>
        <w:pStyle w:val="ListParagraph"/>
        <w:numPr>
          <w:ilvl w:val="0"/>
          <w:numId w:val="3"/>
        </w:numPr>
        <w:spacing w:after="70" w:line="280"/>
      </w:pPr>
      <w:r>
        <w:rPr>
          <w:rFonts w:ascii="Calibri" w:cs="Calibri" w:eastAsia="Calibri" w:hAnsi="Calibri"/>
          <w:color w:val="0E1A1C"/>
          <w:sz w:val="21"/>
          <w:szCs w:val="21"/>
        </w:rPr>
        <w:t xml:space="preserve">Opvolging. Bij negen stewards wisselt er elk jaar minstens één van functie. Zonder overdrachtsafspraak verdwijnt met hem de kennis van zijn domein — en dat is de meest voorkomende manier waarop federatieve governance verwatert.</w:t>
      </w:r>
    </w:p>
    <w:p>
      <w:pPr>
        <w:pStyle w:val="ListParagraph"/>
        <w:numPr>
          <w:ilvl w:val="0"/>
          <w:numId w:val="3"/>
        </w:numPr>
        <w:spacing w:after="70" w:line="280"/>
      </w:pPr>
      <w:r>
        <w:rPr>
          <w:rFonts w:ascii="Calibri" w:cs="Calibri" w:eastAsia="Calibri" w:hAnsi="Calibri"/>
          <w:color w:val="0E1A1C"/>
          <w:sz w:val="21"/>
          <w:szCs w:val="21"/>
        </w:rPr>
        <w:t xml:space="preserve">Gemeenschap. Stewards die elkaar niet kennen, lossen dezelfde problemen negen keer op. Een periodiek stewardoverleg zonder besluitrecht is hier wel zinvol — het is een leergemeenschap, geen governance-orgaan.</w:t>
      </w:r>
    </w:p>
    <w:p>
      <w:pPr>
        <w:pStyle w:val="ListParagraph"/>
        <w:numPr>
          <w:ilvl w:val="0"/>
          <w:numId w:val="3"/>
        </w:numPr>
        <w:spacing w:after="70" w:line="280"/>
      </w:pPr>
      <w:r>
        <w:rPr>
          <w:rFonts w:ascii="Calibri" w:cs="Calibri" w:eastAsia="Calibri" w:hAnsi="Calibri"/>
          <w:color w:val="0E1A1C"/>
          <w:sz w:val="21"/>
          <w:szCs w:val="21"/>
        </w:rPr>
        <w:t xml:space="preserve">Verschil accepteren. Sommige domeinen doen het beter dan andere. Dat verschil benoemen zonder het als falen te presenteren, is een van de moeilijkste dingen in dit werk.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opvolgingsafspraak</w:t>
            </w:r>
          </w:p>
          <w:p>
            <w:pPr>
              <w:spacing w:after="60" w:line="280"/>
            </w:pPr>
            <w:r>
              <w:rPr>
                <w:rFonts w:ascii="Calibri" w:cs="Calibri" w:eastAsia="Calibri" w:hAnsi="Calibri"/>
                <w:color w:val="0E1A1C"/>
                <w:sz w:val="20"/>
                <w:szCs w:val="20"/>
              </w:rPr>
              <w:t xml:space="preserve">Leg bij aanstelling van een steward vast wat er gebeurt als hij vertrekt: wie neemt over, welke overdracht hoort erbij, en binnen welke termijn. Dat voelt overdreven bij een rol van vier uur per week en het is de goedkoopste maatregel tegen verwatering die er bestaat. Vrijwel geen enkele organisatie doet het.</w:t>
            </w:r>
          </w:p>
        </w:tc>
      </w:tr>
    </w:tbl>
    <w:p>
      <w:pPr>
        <w:pStyle w:val="Heading1"/>
        <w:spacing w:after="200" w:before="420"/>
      </w:pPr>
      <w:r>
        <w:rPr>
          <w:rFonts w:ascii="Cambria" w:cs="Cambria" w:eastAsia="Cambria" w:hAnsi="Cambria"/>
          <w:b/>
          <w:bCs/>
          <w:color w:val="1B4A48"/>
          <w:sz w:val="34"/>
          <w:szCs w:val="34"/>
        </w:rPr>
        <w:t xml:space="preserve">6. Sturen over meerdere jaren</w:t>
      </w:r>
    </w:p>
    <w:p>
      <w:pPr>
        <w:spacing w:after="140" w:line="288"/>
      </w:pPr>
      <w:r>
        <w:rPr>
          <w:rFonts w:ascii="Calibri" w:cs="Calibri" w:eastAsia="Calibri" w:hAnsi="Calibri"/>
          <w:color w:val="0E1A1C"/>
          <w:sz w:val="21"/>
          <w:szCs w:val="21"/>
        </w:rPr>
        <w:t xml:space="preserve">Een governanceprogramma dat drie jaar loopt, kent een voorspelbaar verloop: enthousiasme in het eerste jaar, resultaat in het tweede, en stagnatie in het derde. Die stagnatie is het moment waarop het programma sterft, en hij is aan de cijfers te zien voordat hij aan de stemming te merken is.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400"/>
        <w:gridCol w:w="34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Indicator</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meet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Stagnatiesignaal</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Dekking eigenaarschap</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kritieke domeinen met een actieve owner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Blijft twee kwartalen op hetzelfde niveau steken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Doorlooptijd besluiten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Mediaan per besluittype</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Stijgt terwijl het aantal besluiten daalt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besluiten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orgaan per kwartaal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Daalt zonder dat er minder te beslissen valt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 waivers</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en gemiddelde leeftijd</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Leeftijd stijgt: niemand herbeoordeelt meer</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Controluitvoering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controls dat draait zoals bedoeld</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Daalt langzaam; niemand merkt het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Kwaliteitsscore KDE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uitkomstmaat</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Vlak, terwijl de andere indicatoren stijgen</w:t>
            </w:r>
          </w:p>
        </w:tc>
      </w:tr>
    </w:tbl>
    <w:p>
      <w:pPr>
        <w:spacing w:after="140"/>
      </w:pPr>
      <w:r>
        <w:t xml:space="preserve"/>
      </w:r>
    </w:p>
    <w:p>
      <w:pPr>
        <w:spacing w:after="140" w:line="288"/>
      </w:pPr>
      <w:r>
        <w:rPr>
          <w:rFonts w:ascii="Calibri" w:cs="Calibri" w:eastAsia="Calibri" w:hAnsi="Calibri"/>
          <w:color w:val="0E1A1C"/>
          <w:sz w:val="21"/>
          <w:szCs w:val="21"/>
        </w:rPr>
        <w:t xml:space="preserve">De laatste rij is de gevaarlijkste combinatie: alle procesindicatoren gaan goed en de uitkomst beweegt niet. Dat betekent dat het programma zichzelf meet in plaats van het probleem. Wie dat niet tijdig benoemt, verliest bij de eerstvolgende bezuiniging het budget — terecht.</w:t>
      </w:r>
    </w:p>
    <w:p>
      <w:pPr>
        <w:pStyle w:val="Heading3"/>
        <w:spacing w:after="100" w:before="240"/>
      </w:pPr>
      <w:r>
        <w:rPr>
          <w:rFonts w:ascii="Calibri" w:cs="Calibri" w:eastAsia="Calibri" w:hAnsi="Calibri"/>
          <w:b/>
          <w:bCs/>
          <w:color w:val="3F7D74"/>
          <w:sz w:val="22"/>
          <w:szCs w:val="22"/>
        </w:rPr>
        <w:t xml:space="preserve">OKR’s naast KPI’s</w:t>
      </w:r>
    </w:p>
    <w:p>
      <w:pPr>
        <w:spacing w:after="140" w:line="288"/>
      </w:pPr>
      <w:r>
        <w:rPr>
          <w:rFonts w:ascii="Calibri" w:cs="Calibri" w:eastAsia="Calibri" w:hAnsi="Calibri"/>
          <w:color w:val="0E1A1C"/>
          <w:sz w:val="21"/>
          <w:szCs w:val="21"/>
        </w:rPr>
        <w:t xml:space="preserve">KPI’s meten of het werkt; OKR’s zeggen waar je heen wilt. Bij een meerjarig programma is die tweede nodig, omdat een KPI-set zonder richting na twee jaar een dashboard is dat niemand meer opent. Formuleer per jaar één doel met drie meetbare resultaten, en accepteer dat je er hooguit twee van de drie haalt.</w:t>
      </w:r>
    </w:p>
    <w:p>
      <w:r>
        <w:br w:type="page"/>
      </w:r>
    </w:p>
    <w:p>
      <w:pPr>
        <w:pStyle w:val="Heading1"/>
        <w:spacing w:after="200" w:before="420"/>
      </w:pPr>
      <w:r>
        <w:rPr>
          <w:rFonts w:ascii="Cambria" w:cs="Cambria" w:eastAsia="Cambria" w:hAnsi="Cambria"/>
          <w:b/>
          <w:bCs/>
          <w:color w:val="1B4A48"/>
          <w:sz w:val="34"/>
          <w:szCs w:val="34"/>
        </w:rPr>
        <w:t xml:space="preserve">7. Cultuur en gedrag</w:t>
      </w:r>
    </w:p>
    <w:p>
      <w:pPr>
        <w:spacing w:after="140" w:line="288"/>
      </w:pPr>
      <w:r>
        <w:rPr>
          <w:rFonts w:ascii="Calibri" w:cs="Calibri" w:eastAsia="Calibri" w:hAnsi="Calibri"/>
          <w:color w:val="0E1A1C"/>
          <w:sz w:val="21"/>
          <w:szCs w:val="21"/>
        </w:rPr>
        <w:t xml:space="preserve">Cultuurverandering is een woord dat in programmaplannen staat en waar zelden iets achter zit. Het bruikbare deel ervan is smal en concreet: je verandert geen houding, je verandert gedrag — en houding volgt soms.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2200"/>
        <w:gridCol w:w="1900"/>
        <w:gridCol w:w="27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Interventie</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Grijpt aan op</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Werkt</w:t>
            </w:r>
          </w:p>
        </w:tc>
        <w:tc>
          <w:tcPr>
            <w:tcW w:type="dxa" w:w="2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Werkt niet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Rol in het functieprofiel met uren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Formele verwachting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Structureel</w:t>
            </w:r>
          </w:p>
        </w:tc>
        <w:tc>
          <w:tcPr>
            <w:tcW w:type="dxa" w:w="2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de leidinggevende het niet bespreekt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Zichtbaar maken van verschillen tussen domeinen</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Sociale vergelijking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en sterk</w:t>
            </w:r>
          </w:p>
        </w:tc>
        <w:tc>
          <w:tcPr>
            <w:tcW w:type="dxa" w:w="2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het als afrekening voelt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Voorbeeldgedrag van een directeur</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Legitimering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Zeer sterk, kort</w:t>
            </w:r>
          </w:p>
        </w:tc>
        <w:tc>
          <w:tcPr>
            <w:tcW w:type="dxa" w:w="2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herhaling</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Verhalen over concrete gevallen</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Betekenisgeving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Blijvend</w:t>
            </w:r>
          </w:p>
        </w:tc>
        <w:tc>
          <w:tcPr>
            <w:tcW w:type="dxa" w:w="2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ze abstract worden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Training</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Kennis</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bij een concreet gat</w:t>
            </w:r>
          </w:p>
        </w:tc>
        <w:tc>
          <w:tcPr>
            <w:tcW w:type="dxa" w:w="2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vervanging voor mandaat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Communicatiecampagne</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Bewustzijn</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w:t>
            </w:r>
          </w:p>
        </w:tc>
        <w:tc>
          <w:tcPr>
            <w:tcW w:type="dxa" w:w="2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altijd</w:t>
            </w:r>
          </w:p>
        </w:tc>
      </w:tr>
    </w:tbl>
    <w:p>
      <w:pPr>
        <w:spacing w:after="140"/>
      </w:pPr>
      <w:r>
        <w:t xml:space="preserve"/>
      </w:r>
    </w:p>
    <w:p>
      <w:pPr>
        <w:spacing w:after="140" w:line="288"/>
      </w:pPr>
      <w:r>
        <w:rPr>
          <w:rFonts w:ascii="Calibri" w:cs="Calibri" w:eastAsia="Calibri" w:hAnsi="Calibri"/>
          <w:color w:val="0E1A1C"/>
          <w:sz w:val="21"/>
          <w:szCs w:val="21"/>
        </w:rPr>
        <w:t xml:space="preserve">De tweede rij is de krachtigste en de meest riskante. Een maandelijks overzicht waarin domeinen naast elkaar staan, verandert gedrag binnen een kwartaal — zolang het wordt gepresenteerd als informatie en niet als ranglijst. Zodra er een directeur is die het als afrekening gebruikt, gaan domeinen hun cijfers beheren in plaats van hun data.</w:t>
      </w:r>
    </w:p>
    <w:p>
      <w:pPr>
        <w:spacing w:after="140" w:line="288"/>
      </w:pPr>
      <w:r>
        <w:rPr>
          <w:rFonts w:ascii="Calibri" w:cs="Calibri" w:eastAsia="Calibri" w:hAnsi="Calibri"/>
          <w:color w:val="0E1A1C"/>
          <w:sz w:val="21"/>
          <w:szCs w:val="21"/>
        </w:rPr>
        <w:t xml:space="preserve">De laatste rij verdient een waarschuwing. Een communicatiecampagne over het belang van datakwaliteit verandert vrijwel nooit gedrag en kost geloofwaardigheid, omdat hij impliceert dat het probleem onwetendheid is. In vrijwel alle gevallen is het probleem geen onwetendheid maar ontbrekende tijd, mandaat of prikkel.</w:t>
      </w:r>
    </w:p>
    <w:p>
      <w:pPr>
        <w:pStyle w:val="Heading1"/>
        <w:spacing w:after="200" w:before="420"/>
      </w:pPr>
      <w:r>
        <w:rPr>
          <w:rFonts w:ascii="Cambria" w:cs="Cambria" w:eastAsia="Cambria" w:hAnsi="Cambria"/>
          <w:b/>
          <w:bCs/>
          <w:color w:val="1B4A48"/>
          <w:sz w:val="34"/>
          <w:szCs w:val="34"/>
        </w:rPr>
        <w:t xml:space="preserve">8. Governance over legacy</w:t>
      </w:r>
    </w:p>
    <w:p>
      <w:pPr>
        <w:spacing w:after="140" w:line="288"/>
      </w:pPr>
      <w:r>
        <w:rPr>
          <w:rFonts w:ascii="Calibri" w:cs="Calibri" w:eastAsia="Calibri" w:hAnsi="Calibri"/>
          <w:color w:val="0E1A1C"/>
          <w:sz w:val="21"/>
          <w:szCs w:val="21"/>
        </w:rPr>
        <w:t xml:space="preserve">Na een fusie draaien er systemen die niemand meer wil en die niemand kan uitfaseren. Zij vervallen tot niemandsland: geen owner, geen kwaliteitsmeting, geen classificatie — en juist daar zit het risico, omdat er nog steeds gegevens in staan.</w:t>
      </w:r>
    </w:p>
    <w:p>
      <w:pPr>
        <w:pStyle w:val="ListParagraph"/>
        <w:numPr>
          <w:ilvl w:val="0"/>
          <w:numId w:val="5"/>
        </w:numPr>
        <w:spacing w:after="70" w:line="280"/>
      </w:pPr>
      <w:r>
        <w:rPr>
          <w:rFonts w:ascii="Calibri" w:cs="Calibri" w:eastAsia="Calibri" w:hAnsi="Calibri"/>
          <w:color w:val="0E1A1C"/>
          <w:sz w:val="21"/>
          <w:szCs w:val="21"/>
        </w:rPr>
        <w:t xml:space="preserve">Wijs ook voor uitfaserende systemen een owner aan, met een lichter regime. Geen eigenaar is geen optie zolang er persoonsgegevens in staan.</w:t>
      </w:r>
    </w:p>
    <w:p>
      <w:pPr>
        <w:pStyle w:val="ListParagraph"/>
        <w:numPr>
          <w:ilvl w:val="0"/>
          <w:numId w:val="5"/>
        </w:numPr>
        <w:spacing w:after="70" w:line="280"/>
      </w:pPr>
      <w:r>
        <w:rPr>
          <w:rFonts w:ascii="Calibri" w:cs="Calibri" w:eastAsia="Calibri" w:hAnsi="Calibri"/>
          <w:color w:val="0E1A1C"/>
          <w:sz w:val="21"/>
          <w:szCs w:val="21"/>
        </w:rPr>
        <w:t xml:space="preserve">Bevries de functionaliteit expliciet: geen nieuwe koppelingen, geen nieuwe afnemers. Dat is een besluit, geen aanname.</w:t>
      </w:r>
    </w:p>
    <w:p>
      <w:pPr>
        <w:pStyle w:val="ListParagraph"/>
        <w:numPr>
          <w:ilvl w:val="0"/>
          <w:numId w:val="5"/>
        </w:numPr>
        <w:spacing w:after="70" w:line="280"/>
      </w:pPr>
      <w:r>
        <w:rPr>
          <w:rFonts w:ascii="Calibri" w:cs="Calibri" w:eastAsia="Calibri" w:hAnsi="Calibri"/>
          <w:color w:val="0E1A1C"/>
          <w:sz w:val="21"/>
          <w:szCs w:val="21"/>
        </w:rPr>
        <w:t xml:space="preserve">Meet minder maar meet wel. Drie regels op de kritieke elementen volstaat; nul regels betekent dat je niet weet wat er gebeurt.</w:t>
      </w:r>
    </w:p>
    <w:p>
      <w:pPr>
        <w:pStyle w:val="ListParagraph"/>
        <w:numPr>
          <w:ilvl w:val="0"/>
          <w:numId w:val="5"/>
        </w:numPr>
        <w:spacing w:after="70" w:line="280"/>
      </w:pPr>
      <w:r>
        <w:rPr>
          <w:rFonts w:ascii="Calibri" w:cs="Calibri" w:eastAsia="Calibri" w:hAnsi="Calibri"/>
          <w:color w:val="0E1A1C"/>
          <w:sz w:val="21"/>
          <w:szCs w:val="21"/>
        </w:rPr>
        <w:t xml:space="preserve">Leg de uitfaseringsvoorwaarde vast: wat moet er waar zijn voordat dit systeem uit mag? Zonder die voorwaarde blijft het jaren staan.</w:t>
      </w:r>
    </w:p>
    <w:p>
      <w:pPr>
        <w:pStyle w:val="ListParagraph"/>
        <w:numPr>
          <w:ilvl w:val="0"/>
          <w:numId w:val="5"/>
        </w:numPr>
        <w:spacing w:after="70" w:line="280"/>
      </w:pPr>
      <w:r>
        <w:rPr>
          <w:rFonts w:ascii="Calibri" w:cs="Calibri" w:eastAsia="Calibri" w:hAnsi="Calibri"/>
          <w:color w:val="0E1A1C"/>
          <w:sz w:val="21"/>
          <w:szCs w:val="21"/>
        </w:rPr>
        <w:t xml:space="preserve">Reken de kosten van het openhouden zichtbaar door, zoals bij de coëxistentie in deel 23.</w:t>
      </w:r>
    </w:p>
    <w:p>
      <w:pPr>
        <w:pStyle w:val="Heading1"/>
        <w:spacing w:after="200" w:before="420"/>
      </w:pPr>
      <w:r>
        <w:rPr>
          <w:rFonts w:ascii="Cambria" w:cs="Cambria" w:eastAsia="Cambria" w:hAnsi="Cambria"/>
          <w:b/>
          <w:bCs/>
          <w:color w:val="1B4A48"/>
          <w:sz w:val="34"/>
          <w:szCs w:val="34"/>
        </w:rPr>
        <w:t xml:space="preserve">9. Volwassenheid over de tijd</w:t>
      </w:r>
    </w:p>
    <w:p>
      <w:pPr>
        <w:spacing w:after="140" w:line="288"/>
      </w:pPr>
      <w:r>
        <w:rPr>
          <w:rFonts w:ascii="Calibri" w:cs="Calibri" w:eastAsia="Calibri" w:hAnsi="Calibri"/>
          <w:color w:val="0E1A1C"/>
          <w:sz w:val="21"/>
          <w:szCs w:val="21"/>
        </w:rPr>
        <w:t xml:space="preserve">Van niveau 2 naar 3 is een organisatievraagstuk; van 3 naar 4 is een gedragsvraagstuk. Dat onderscheid verklaart waarom de tweede stap zoveel langer duurt.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400"/>
        <w:gridCol w:w="1900"/>
        <w:gridCol w:w="22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Overgang</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moet gebeuren</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Duur</w:t>
            </w:r>
          </w:p>
        </w:tc>
        <w:tc>
          <w:tcPr>
            <w:tcW w:type="dxa" w:w="2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het strandt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naar 2</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Vastleggen wat er al gebeurt, per afdeling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Maanden</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 dit lukt bijna altijd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naar 3</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Organisatiebreed vaststellen en bekendmaken</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tot twee jaar</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het vaststellen: niemand durft te kiezen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naar 4</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Meten en op grond daarvan bijsturen</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tot vier jaar</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het bijsturen: er wordt gemeten en niets gedaan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naar 5</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Verbeteren zonder programma</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bereikt</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de aanname dat het nodig is</w:t>
            </w:r>
          </w:p>
        </w:tc>
      </w:tr>
    </w:tbl>
    <w:p>
      <w:pPr>
        <w:spacing w:after="140"/>
      </w:pPr>
      <w:r>
        <w:t xml:space="preserve"/>
      </w:r>
    </w:p>
    <w:p>
      <w:pPr>
        <w:spacing w:after="140" w:line="288"/>
      </w:pPr>
      <w:r>
        <w:rPr>
          <w:rFonts w:ascii="Calibri" w:cs="Calibri" w:eastAsia="Calibri" w:hAnsi="Calibri"/>
          <w:color w:val="0E1A1C"/>
          <w:sz w:val="21"/>
          <w:szCs w:val="21"/>
        </w:rPr>
        <w:t xml:space="preserve">De stap van 3 naar 4 is waar de meeste organisaties blijven steken, en de oorzaak is bijna altijd dezelfde: er wordt gemeten en er gebeurt niets met de meting. Dat is geen meetprobleem maar een besluitrechtprobleem — precies waar deel 16 over ging. Wie op niveau 3 blijft hangen, moet niet naar zijn dashboard kijken maar naar zijn escalatiepaden.</w:t>
      </w:r>
    </w:p>
    <w:p>
      <w:pPr>
        <w:pStyle w:val="Heading1"/>
        <w:spacing w:after="200" w:before="420"/>
      </w:pPr>
      <w:r>
        <w:rPr>
          <w:rFonts w:ascii="Cambria" w:cs="Cambria" w:eastAsia="Cambria" w:hAnsi="Cambria"/>
          <w:b/>
          <w:bCs/>
          <w:color w:val="1B4A48"/>
          <w:sz w:val="34"/>
          <w:szCs w:val="34"/>
        </w:rPr>
        <w:t xml:space="preserve">10. Vijf fouten op dit niveau</w:t>
      </w:r>
    </w:p>
    <w:p>
      <w:pPr>
        <w:pStyle w:val="ListParagraph"/>
        <w:numPr>
          <w:ilvl w:val="0"/>
          <w:numId w:val="6"/>
        </w:numPr>
        <w:spacing w:after="70" w:line="280"/>
      </w:pPr>
      <w:r>
        <w:rPr>
          <w:rFonts w:ascii="Calibri" w:cs="Calibri" w:eastAsia="Calibri" w:hAnsi="Calibri"/>
          <w:color w:val="0E1A1C"/>
          <w:sz w:val="21"/>
          <w:szCs w:val="21"/>
        </w:rPr>
        <w:t xml:space="preserve">Federatief invoeren voordat de domeinen weten wat er van hen wordt verwacht.</w:t>
      </w:r>
    </w:p>
    <w:p>
      <w:pPr>
        <w:pStyle w:val="ListParagraph"/>
        <w:numPr>
          <w:ilvl w:val="0"/>
          <w:numId w:val="6"/>
        </w:numPr>
        <w:spacing w:after="70" w:line="280"/>
      </w:pPr>
      <w:r>
        <w:rPr>
          <w:rFonts w:ascii="Calibri" w:cs="Calibri" w:eastAsia="Calibri" w:hAnsi="Calibri"/>
          <w:color w:val="0E1A1C"/>
          <w:sz w:val="21"/>
          <w:szCs w:val="21"/>
        </w:rPr>
        <w:t xml:space="preserve">Alle aandacht richten op het automatiseerbare kwart en het inhoudelijke deel laten liggen.</w:t>
      </w:r>
    </w:p>
    <w:p>
      <w:pPr>
        <w:pStyle w:val="ListParagraph"/>
        <w:numPr>
          <w:ilvl w:val="0"/>
          <w:numId w:val="6"/>
        </w:numPr>
        <w:spacing w:after="70" w:line="280"/>
      </w:pPr>
      <w:r>
        <w:rPr>
          <w:rFonts w:ascii="Calibri" w:cs="Calibri" w:eastAsia="Calibri" w:hAnsi="Calibri"/>
          <w:color w:val="0E1A1C"/>
          <w:sz w:val="21"/>
          <w:szCs w:val="21"/>
        </w:rPr>
        <w:t xml:space="preserve">Stewards aanstellen zonder opvolgingsafspraak.</w:t>
      </w:r>
    </w:p>
    <w:p>
      <w:pPr>
        <w:pStyle w:val="ListParagraph"/>
        <w:numPr>
          <w:ilvl w:val="0"/>
          <w:numId w:val="6"/>
        </w:numPr>
        <w:spacing w:after="70" w:line="280"/>
      </w:pPr>
      <w:r>
        <w:rPr>
          <w:rFonts w:ascii="Calibri" w:cs="Calibri" w:eastAsia="Calibri" w:hAnsi="Calibri"/>
          <w:color w:val="0E1A1C"/>
          <w:sz w:val="21"/>
          <w:szCs w:val="21"/>
        </w:rPr>
        <w:t xml:space="preserve">Stagnatie pas benoemen als de stemming al is omgeslagen.</w:t>
      </w:r>
    </w:p>
    <w:p>
      <w:pPr>
        <w:pStyle w:val="ListParagraph"/>
        <w:numPr>
          <w:ilvl w:val="0"/>
          <w:numId w:val="6"/>
        </w:numPr>
        <w:spacing w:after="70" w:line="280"/>
      </w:pPr>
      <w:r>
        <w:rPr>
          <w:rFonts w:ascii="Calibri" w:cs="Calibri" w:eastAsia="Calibri" w:hAnsi="Calibri"/>
          <w:color w:val="0E1A1C"/>
          <w:sz w:val="21"/>
          <w:szCs w:val="21"/>
        </w:rPr>
        <w:t xml:space="preserve">Cultuurverandering aanpakken met een campagne terwijl het probleem tijd, mandaat of prikkel is.</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raakt het component controle en volwassenheid van DCAM, en voor het CDMP de kennisgebieden Data Governance en het datamanagementproces op de 80%-band.</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Het verschil tussen centraal, federatief en decentraal, met de risico’s van elk.</w:t>
      </w:r>
    </w:p>
    <w:p>
      <w:pPr>
        <w:pStyle w:val="ListParagraph"/>
        <w:numPr>
          <w:ilvl w:val="0"/>
          <w:numId w:val="3"/>
        </w:numPr>
        <w:spacing w:after="70" w:line="280"/>
      </w:pPr>
      <w:r>
        <w:rPr>
          <w:rFonts w:ascii="Calibri" w:cs="Calibri" w:eastAsia="Calibri" w:hAnsi="Calibri"/>
          <w:color w:val="0E1A1C"/>
          <w:sz w:val="21"/>
          <w:szCs w:val="21"/>
        </w:rPr>
        <w:t xml:space="preserve">Volwassenheidsniveaus en wat elke overgang vraagt — met name 3 naar 4.</w:t>
      </w:r>
    </w:p>
    <w:p>
      <w:pPr>
        <w:pStyle w:val="ListParagraph"/>
        <w:numPr>
          <w:ilvl w:val="0"/>
          <w:numId w:val="3"/>
        </w:numPr>
        <w:spacing w:after="70" w:line="280"/>
      </w:pPr>
      <w:r>
        <w:rPr>
          <w:rFonts w:ascii="Calibri" w:cs="Calibri" w:eastAsia="Calibri" w:hAnsi="Calibri"/>
          <w:color w:val="0E1A1C"/>
          <w:sz w:val="21"/>
          <w:szCs w:val="21"/>
        </w:rPr>
        <w:t xml:space="preserve">De relatie tussen meting, besluitrecht en bijsturing.</w:t>
      </w:r>
    </w:p>
    <w:p>
      <w:pPr>
        <w:pStyle w:val="ListParagraph"/>
        <w:numPr>
          <w:ilvl w:val="0"/>
          <w:numId w:val="3"/>
        </w:numPr>
        <w:spacing w:after="70" w:line="280"/>
      </w:pPr>
      <w:r>
        <w:rPr>
          <w:rFonts w:ascii="Calibri" w:cs="Calibri" w:eastAsia="Calibri" w:hAnsi="Calibri"/>
          <w:color w:val="0E1A1C"/>
          <w:sz w:val="21"/>
          <w:szCs w:val="21"/>
        </w:rPr>
        <w:t xml:space="preserve">Continue verantwoording tegenover periodieke audit.</w:t>
      </w:r>
    </w:p>
    <w:p>
      <w:pPr>
        <w:pStyle w:val="ListParagraph"/>
        <w:numPr>
          <w:ilvl w:val="0"/>
          <w:numId w:val="3"/>
        </w:numPr>
        <w:spacing w:after="70" w:line="280"/>
      </w:pPr>
      <w:r>
        <w:rPr>
          <w:rFonts w:ascii="Calibri" w:cs="Calibri" w:eastAsia="Calibri" w:hAnsi="Calibri"/>
          <w:color w:val="0E1A1C"/>
          <w:sz w:val="21"/>
          <w:szCs w:val="21"/>
        </w:rPr>
        <w:t xml:space="preserve">Engels: federated governance, policy as code, continuous control monitoring, stewardship community, maturity transition.</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Voor DCAM: het framework en de bijbehorende training zijn exclusief beschikbaar voor leden van de EDM Association, via het Knowledge Portal. Het component controle en volwassenheid wordt in deel 24 gescoord.</w:t>
            </w:r>
          </w:p>
          <w:p>
            <w:pPr>
              <w:spacing w:after="60" w:line="280"/>
            </w:pPr>
            <w:r>
              <w:rPr>
                <w:rFonts w:ascii="Calibri" w:cs="Calibri" w:eastAsia="Calibri" w:hAnsi="Calibri"/>
                <w:color w:val="0E1A1C"/>
                <w:sz w:val="20"/>
                <w:szCs w:val="20"/>
              </w:rPr>
              <w:t xml:space="preserve">Voor het CDMP: de hoofdstukken over data governance en het datamanagementproces in de DAMA-DMBOK2 Revised Edition.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25 — Federatieve governance op schaal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Federatieve governance op schaal — Deelnemersreader</dc:title>
  <dc:creator>Ductus B.V.</dc:creator>
  <dc:description>Cursusmateriaal datamanagement, data-analyse en data governance</dc:description>
  <cp:lastModifiedBy>Un-named</cp:lastModifiedBy>
  <cp:revision>1</cp:revision>
  <dcterms:created xsi:type="dcterms:W3CDTF">2026-08-05T13:01:41.122Z</dcterms:created>
  <dcterms:modified xsi:type="dcterms:W3CDTF">2026-08-05T13:01:41.122Z</dcterms:modified>
</cp:coreProperties>
</file>

<file path=docProps/custom.xml><?xml version="1.0" encoding="utf-8"?>
<Properties xmlns="http://schemas.openxmlformats.org/officeDocument/2006/custom-properties" xmlns:vt="http://schemas.openxmlformats.org/officeDocument/2006/docPropsVTypes"/>
</file>