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26</w:t>
      </w:r>
    </w:p>
    <w:p>
      <w:pPr>
        <w:spacing w:after="120"/>
      </w:pPr>
      <w:r>
        <w:rPr>
          <w:rFonts w:ascii="Cambria" w:cs="Cambria" w:eastAsia="Cambria" w:hAnsi="Cambria"/>
          <w:b/>
          <w:bCs/>
          <w:color w:val="0E1A1C"/>
          <w:sz w:val="56"/>
          <w:szCs w:val="56"/>
        </w:rPr>
        <w:t xml:space="preserve">Datawaardering en data-economie</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4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Waarderingscasus, deelnamevoorstel data space, ethisch dilemma in vier varianten</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26 gelezen; deel 22, 23 en 25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een extern datacontract meegenomen. Wie er niet bij kan, gebruikt de sterftetafelcasus — vermeld dat vooraf, anders komt niemand met een contract.</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waarderingscasus: de dataportefeuille van Nautilus met opbouwkosten, gebruikscijfers, en één aanname over synergievoordeel die de uitkomst met een factor vier beweegt.</w:t>
      </w:r>
    </w:p>
    <w:p>
      <w:pPr>
        <w:pStyle w:val="ListParagraph"/>
        <w:numPr>
          <w:ilvl w:val="0"/>
          <w:numId w:val="2"/>
        </w:numPr>
        <w:spacing w:after="70" w:line="280"/>
      </w:pPr>
      <w:r>
        <w:rPr>
          <w:rFonts w:ascii="Calibri" w:cs="Calibri" w:eastAsia="Calibri" w:hAnsi="Calibri"/>
          <w:color w:val="0E1A1C"/>
          <w:sz w:val="21"/>
          <w:szCs w:val="21"/>
        </w:rPr>
        <w:t xml:space="preserve">Het deelnamevoorstel voor de sectorbenchmark, met een dominante deelnemer, een vage semantiekparagraaf, en een uittredingsclausule die geleverde data bij het collectief laat.</w:t>
      </w:r>
    </w:p>
    <w:p>
      <w:pPr>
        <w:pStyle w:val="ListParagraph"/>
        <w:numPr>
          <w:ilvl w:val="0"/>
          <w:numId w:val="2"/>
        </w:numPr>
        <w:spacing w:after="70" w:line="280"/>
      </w:pPr>
      <w:r>
        <w:rPr>
          <w:rFonts w:ascii="Calibri" w:cs="Calibri" w:eastAsia="Calibri" w:hAnsi="Calibri"/>
          <w:color w:val="0E1A1C"/>
          <w:sz w:val="21"/>
          <w:szCs w:val="21"/>
        </w:rPr>
        <w:t xml:space="preserve">Het ethisch dilemma in vier varianten, die op precies één detail verschillen — bijvoorbeeld of de deelnemer wordt geïnformeerd, of het om een pilot of om productie gaat.</w:t>
      </w:r>
    </w:p>
    <w:p>
      <w:pPr>
        <w:pStyle w:val="ListParagraph"/>
        <w:numPr>
          <w:ilvl w:val="0"/>
          <w:numId w:val="2"/>
        </w:numPr>
        <w:spacing w:after="70" w:line="280"/>
      </w:pPr>
      <w:r>
        <w:rPr>
          <w:rFonts w:ascii="Calibri" w:cs="Calibri" w:eastAsia="Calibri" w:hAnsi="Calibri"/>
          <w:color w:val="0E1A1C"/>
          <w:sz w:val="21"/>
          <w:szCs w:val="21"/>
        </w:rPr>
        <w:t xml:space="preserve">Een sterftetafelcontract met een beëindigingsclausule die verwijdering eist en een aansprakelijkheid beperkt tot de jaarlijkse licentieprijs.</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deel verlegt de blik van intern naar extern: van hoe je het inricht naar wat het waard is en met wie je het deelt. Het bouwt op deel 13 voor de semantiek bij datadeling en op deel 17 voor de verwerkersketen. Deel 27 pakt de ethische vraag op waar modellen die scherper maken; deel 29 verwerkt de waardering in het transformatieprogramma.</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wat is de portefeuille van Nautilus waard?</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om een schatting vóór de theorie; de spreiding in de zaal is het punt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Methoden en monetisatie,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Interne efficiëntie als grootste post is het inzicht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de waardering</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drie varianten af; één bedrag is geen antwoord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2:00–2:55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data space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semantiekvraag is de onderschatte</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2:55–3:45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externe data</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beëindigingsclausule is het leermoment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3:45–4:00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het dilemma, plenair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Groep</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Maak de varianten pas na de discussie bekend</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Methode bij de vraag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Scenariobenadering bij de fusievraag, opbrengstbenadering bij de investeringsvraag, kostenbenadering bij de verzekeringsvraag, en scenario of opbrengst bij de data space.</w:t>
      </w:r>
    </w:p>
    <w:p>
      <w:pPr>
        <w:pStyle w:val="ListParagraph"/>
        <w:numPr>
          <w:ilvl w:val="0"/>
          <w:numId w:val="2"/>
        </w:numPr>
        <w:spacing w:after="70" w:line="280"/>
      </w:pPr>
      <w:r>
        <w:rPr>
          <w:rFonts w:ascii="Calibri" w:cs="Calibri" w:eastAsia="Calibri" w:hAnsi="Calibri"/>
          <w:color w:val="0E1A1C"/>
          <w:sz w:val="21"/>
          <w:szCs w:val="21"/>
        </w:rPr>
        <w:t xml:space="preserve">Per methode benoemd wat hij níét zegt.</w:t>
      </w:r>
    </w:p>
    <w:p>
      <w:pPr>
        <w:pStyle w:val="ListParagraph"/>
        <w:numPr>
          <w:ilvl w:val="0"/>
          <w:numId w:val="2"/>
        </w:numPr>
        <w:spacing w:after="70" w:line="280"/>
      </w:pPr>
      <w:r>
        <w:rPr>
          <w:rFonts w:ascii="Calibri" w:cs="Calibri" w:eastAsia="Calibri" w:hAnsi="Calibri"/>
          <w:color w:val="0E1A1C"/>
          <w:sz w:val="21"/>
          <w:szCs w:val="21"/>
        </w:rPr>
        <w:t xml:space="preserve">De fusievraag aangewezen als de slechtst te beantwoorden, met de reden dat de waarde uit combinatie ontstaat.</w:t>
      </w:r>
    </w:p>
    <w:p>
      <w:pPr>
        <w:pStyle w:val="ListParagraph"/>
        <w:numPr>
          <w:ilvl w:val="0"/>
          <w:numId w:val="2"/>
        </w:numPr>
        <w:spacing w:after="70" w:line="280"/>
      </w:pPr>
      <w:r>
        <w:rPr>
          <w:rFonts w:ascii="Calibri" w:cs="Calibri" w:eastAsia="Calibri" w:hAnsi="Calibri"/>
          <w:color w:val="0E1A1C"/>
          <w:sz w:val="21"/>
          <w:szCs w:val="21"/>
        </w:rPr>
        <w:t xml:space="preserve">Beschreven wat er misgaat bij de kostenbenadering op de fusievraag: je waardeert de opbouwkosten van een portefeuille die haar waarde ontleent aan het samengaan.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Overal de kostenbenadering kiezen omdat die berekenbaar is.</w:t>
      </w:r>
    </w:p>
    <w:p>
      <w:pPr>
        <w:pStyle w:val="ListParagraph"/>
        <w:numPr>
          <w:ilvl w:val="0"/>
          <w:numId w:val="2"/>
        </w:numPr>
        <w:spacing w:after="70" w:line="280"/>
      </w:pPr>
      <w:r>
        <w:rPr>
          <w:rFonts w:ascii="Calibri" w:cs="Calibri" w:eastAsia="Calibri" w:hAnsi="Calibri"/>
          <w:color w:val="0E1A1C"/>
          <w:sz w:val="21"/>
          <w:szCs w:val="21"/>
        </w:rPr>
        <w:t xml:space="preserve">De beperking per methode overslaan; dan lijkt elke methode even goed.</w:t>
      </w:r>
    </w:p>
    <w:p>
      <w:pPr>
        <w:pStyle w:val="ListParagraph"/>
        <w:numPr>
          <w:ilvl w:val="0"/>
          <w:numId w:val="2"/>
        </w:numPr>
        <w:spacing w:after="70" w:line="280"/>
      </w:pPr>
      <w:r>
        <w:rPr>
          <w:rFonts w:ascii="Calibri" w:cs="Calibri" w:eastAsia="Calibri" w:hAnsi="Calibri"/>
          <w:color w:val="0E1A1C"/>
          <w:sz w:val="21"/>
          <w:szCs w:val="21"/>
        </w:rPr>
        <w:t xml:space="preserve">De fusievraag beantwoorden zonder de combinatiewaarde te benoemen.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de vier vragen laat zich het slechtst beantwoorden? En wat zeg je dan tegen de opdrachtgever?</w:t>
            </w:r>
          </w:p>
        </w:tc>
      </w:tr>
    </w:tbl>
    <w:p>
      <w:pPr>
        <w:pStyle w:val="Heading2"/>
        <w:spacing w:after="140" w:before="340"/>
      </w:pPr>
      <w:r>
        <w:rPr>
          <w:rFonts w:ascii="Cambria" w:cs="Cambria" w:eastAsia="Cambria" w:hAnsi="Cambria"/>
          <w:b/>
          <w:bCs/>
          <w:color w:val="0E1A1C"/>
          <w:sz w:val="26"/>
          <w:szCs w:val="26"/>
        </w:rPr>
        <w:t xml:space="preserve">Opdracht 2 — Monetisatie-inventarisatie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Twee concrete voorbeelden per vorm.</w:t>
      </w:r>
    </w:p>
    <w:p>
      <w:pPr>
        <w:pStyle w:val="ListParagraph"/>
        <w:numPr>
          <w:ilvl w:val="0"/>
          <w:numId w:val="2"/>
        </w:numPr>
        <w:spacing w:after="70" w:line="280"/>
      </w:pPr>
      <w:r>
        <w:rPr>
          <w:rFonts w:ascii="Calibri" w:cs="Calibri" w:eastAsia="Calibri" w:hAnsi="Calibri"/>
          <w:color w:val="0E1A1C"/>
          <w:sz w:val="21"/>
          <w:szCs w:val="21"/>
        </w:rPr>
        <w:t xml:space="preserve">Interne efficiëntie aangewezen als grootste post, met de verklaring waarom die zelden zo wordt genoemd.</w:t>
      </w:r>
    </w:p>
    <w:p>
      <w:pPr>
        <w:pStyle w:val="ListParagraph"/>
        <w:numPr>
          <w:ilvl w:val="0"/>
          <w:numId w:val="2"/>
        </w:numPr>
        <w:spacing w:after="70" w:line="280"/>
      </w:pPr>
      <w:r>
        <w:rPr>
          <w:rFonts w:ascii="Calibri" w:cs="Calibri" w:eastAsia="Calibri" w:hAnsi="Calibri"/>
          <w:color w:val="0E1A1C"/>
          <w:sz w:val="21"/>
          <w:szCs w:val="21"/>
        </w:rPr>
        <w:t xml:space="preserve">Bij de vierde vorm een helder oordeel: verkoop van deelnemersgegevens is juridisch vrijwel uitgesloten en reputationeel dodelijk, ook geaggregeerd.</w:t>
      </w:r>
    </w:p>
    <w:p>
      <w:pPr>
        <w:pStyle w:val="ListParagraph"/>
        <w:numPr>
          <w:ilvl w:val="0"/>
          <w:numId w:val="2"/>
        </w:numPr>
        <w:spacing w:after="70" w:line="280"/>
      </w:pPr>
      <w:r>
        <w:rPr>
          <w:rFonts w:ascii="Calibri" w:cs="Calibri" w:eastAsia="Calibri" w:hAnsi="Calibri"/>
          <w:color w:val="0E1A1C"/>
          <w:sz w:val="21"/>
          <w:szCs w:val="21"/>
        </w:rPr>
        <w:t xml:space="preserve">Orde van grootte geschat, of expliciet vastgesteld dat dat niet kan.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Interne efficiëntie niet als monetisatie tellen. Dan verdwijnt de grootste post uit de business case.</w:t>
      </w:r>
    </w:p>
    <w:p>
      <w:pPr>
        <w:pStyle w:val="ListParagraph"/>
        <w:numPr>
          <w:ilvl w:val="0"/>
          <w:numId w:val="2"/>
        </w:numPr>
        <w:spacing w:after="70" w:line="280"/>
      </w:pPr>
      <w:r>
        <w:rPr>
          <w:rFonts w:ascii="Calibri" w:cs="Calibri" w:eastAsia="Calibri" w:hAnsi="Calibri"/>
          <w:color w:val="0E1A1C"/>
          <w:sz w:val="21"/>
          <w:szCs w:val="21"/>
        </w:rPr>
        <w:t xml:space="preserve">De vierde vorm alleen juridisch beoordelen; de reputationele vraag komt eerst.</w:t>
      </w:r>
    </w:p>
    <w:p>
      <w:pPr>
        <w:pStyle w:val="ListParagraph"/>
        <w:numPr>
          <w:ilvl w:val="0"/>
          <w:numId w:val="2"/>
        </w:numPr>
        <w:spacing w:after="70" w:line="280"/>
      </w:pPr>
      <w:r>
        <w:rPr>
          <w:rFonts w:ascii="Calibri" w:cs="Calibri" w:eastAsia="Calibri" w:hAnsi="Calibri"/>
          <w:color w:val="0E1A1C"/>
          <w:sz w:val="21"/>
          <w:szCs w:val="21"/>
        </w:rPr>
        <w:t xml:space="preserve">Bedragen noemen zonder aan te geven hoe hard ze zijn.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Waarom noemt niemand interne efficiëntie monetisatie? En wat kost dat de business case?</w:t>
            </w:r>
          </w:p>
        </w:tc>
      </w:tr>
    </w:tbl>
    <w:p>
      <w:pPr>
        <w:pStyle w:val="Heading2"/>
        <w:spacing w:after="140" w:before="340"/>
      </w:pPr>
      <w:r>
        <w:rPr>
          <w:rFonts w:ascii="Cambria" w:cs="Cambria" w:eastAsia="Cambria" w:hAnsi="Cambria"/>
          <w:b/>
          <w:bCs/>
          <w:color w:val="0E1A1C"/>
          <w:sz w:val="26"/>
          <w:szCs w:val="26"/>
        </w:rPr>
        <w:t xml:space="preserve">Opdracht 3 — De portefeuille waarderen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Methodekeuze verantwoord tegenover de vraag van de board.</w:t>
      </w:r>
    </w:p>
    <w:p>
      <w:pPr>
        <w:pStyle w:val="ListParagraph"/>
        <w:numPr>
          <w:ilvl w:val="0"/>
          <w:numId w:val="2"/>
        </w:numPr>
        <w:spacing w:after="70" w:line="280"/>
      </w:pPr>
      <w:r>
        <w:rPr>
          <w:rFonts w:ascii="Calibri" w:cs="Calibri" w:eastAsia="Calibri" w:hAnsi="Calibri"/>
          <w:color w:val="0E1A1C"/>
          <w:sz w:val="21"/>
          <w:szCs w:val="21"/>
        </w:rPr>
        <w:t xml:space="preserve">Drie varianten met per stuk de dragende aanname, en een factor tussen laag en hoog die de gevoeligheid zichtbaar maakt.</w:t>
      </w:r>
    </w:p>
    <w:p>
      <w:pPr>
        <w:pStyle w:val="ListParagraph"/>
        <w:numPr>
          <w:ilvl w:val="0"/>
          <w:numId w:val="2"/>
        </w:numPr>
        <w:spacing w:after="70" w:line="280"/>
      </w:pPr>
      <w:r>
        <w:rPr>
          <w:rFonts w:ascii="Calibri" w:cs="Calibri" w:eastAsia="Calibri" w:hAnsi="Calibri"/>
          <w:color w:val="0E1A1C"/>
          <w:sz w:val="21"/>
          <w:szCs w:val="21"/>
        </w:rPr>
        <w:t xml:space="preserve">De synergie-aanname herkend als de aanname die de uitkomst het meest beweegt.</w:t>
      </w:r>
    </w:p>
    <w:p>
      <w:pPr>
        <w:pStyle w:val="ListParagraph"/>
        <w:numPr>
          <w:ilvl w:val="0"/>
          <w:numId w:val="2"/>
        </w:numPr>
        <w:spacing w:after="70" w:line="280"/>
      </w:pPr>
      <w:r>
        <w:rPr>
          <w:rFonts w:ascii="Calibri" w:cs="Calibri" w:eastAsia="Calibri" w:hAnsi="Calibri"/>
          <w:color w:val="0E1A1C"/>
          <w:sz w:val="21"/>
          <w:szCs w:val="21"/>
        </w:rPr>
        <w:t xml:space="preserve">Een houdbaarheid met een afhankelijkheid: de waardering vervalt zodra de kwaliteit daalt of de definities uiteenlopen.</w:t>
      </w:r>
    </w:p>
    <w:p>
      <w:pPr>
        <w:pStyle w:val="ListParagraph"/>
        <w:numPr>
          <w:ilvl w:val="0"/>
          <w:numId w:val="2"/>
        </w:numPr>
        <w:spacing w:after="70" w:line="280"/>
      </w:pPr>
      <w:r>
        <w:rPr>
          <w:rFonts w:ascii="Calibri" w:cs="Calibri" w:eastAsia="Calibri" w:hAnsi="Calibri"/>
          <w:color w:val="0E1A1C"/>
          <w:sz w:val="21"/>
          <w:szCs w:val="21"/>
        </w:rPr>
        <w:t xml:space="preserve">Expliciet benoemd wat de waardering niet zegt.</w:t>
      </w:r>
    </w:p>
    <w:p>
      <w:pPr>
        <w:pStyle w:val="ListParagraph"/>
        <w:numPr>
          <w:ilvl w:val="0"/>
          <w:numId w:val="2"/>
        </w:numPr>
        <w:spacing w:after="70" w:line="280"/>
      </w:pPr>
      <w:r>
        <w:rPr>
          <w:rFonts w:ascii="Calibri" w:cs="Calibri" w:eastAsia="Calibri" w:hAnsi="Calibri"/>
          <w:color w:val="0E1A1C"/>
          <w:sz w:val="21"/>
          <w:szCs w:val="21"/>
        </w:rPr>
        <w:t xml:space="preserve">Drie zinnen die een board kan gebruiken.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bedrag. Grijp in; dat is de kernfout van het deel.</w:t>
      </w:r>
    </w:p>
    <w:p>
      <w:pPr>
        <w:pStyle w:val="ListParagraph"/>
        <w:numPr>
          <w:ilvl w:val="0"/>
          <w:numId w:val="2"/>
        </w:numPr>
        <w:spacing w:after="70" w:line="280"/>
      </w:pPr>
      <w:r>
        <w:rPr>
          <w:rFonts w:ascii="Calibri" w:cs="Calibri" w:eastAsia="Calibri" w:hAnsi="Calibri"/>
          <w:color w:val="0E1A1C"/>
          <w:sz w:val="21"/>
          <w:szCs w:val="21"/>
        </w:rPr>
        <w:t xml:space="preserve">De gevoeligheidsanalyse overslaan.</w:t>
      </w:r>
    </w:p>
    <w:p>
      <w:pPr>
        <w:pStyle w:val="ListParagraph"/>
        <w:numPr>
          <w:ilvl w:val="0"/>
          <w:numId w:val="2"/>
        </w:numPr>
        <w:spacing w:after="70" w:line="280"/>
      </w:pPr>
      <w:r>
        <w:rPr>
          <w:rFonts w:ascii="Calibri" w:cs="Calibri" w:eastAsia="Calibri" w:hAnsi="Calibri"/>
          <w:color w:val="0E1A1C"/>
          <w:sz w:val="21"/>
          <w:szCs w:val="21"/>
        </w:rPr>
        <w:t xml:space="preserve">De houdbaarheid niet benoemen; een waardering zonder vervaldatum is misleidend.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aanname beweegt jouw uitkomst het meest? En weet de board dat het daarover gaat?</w:t>
            </w:r>
          </w:p>
        </w:tc>
      </w:tr>
    </w:tbl>
    <w:p>
      <w:pPr>
        <w:pStyle w:val="Heading2"/>
        <w:spacing w:after="140" w:before="340"/>
      </w:pPr>
      <w:r>
        <w:rPr>
          <w:rFonts w:ascii="Cambria" w:cs="Cambria" w:eastAsia="Cambria" w:hAnsi="Cambria"/>
          <w:b/>
          <w:bCs/>
          <w:color w:val="0E1A1C"/>
          <w:sz w:val="26"/>
          <w:szCs w:val="26"/>
        </w:rPr>
        <w:t xml:space="preserve">Opdracht 4 — Data space beoordelen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vijf vragen beantwoord, met de semantiekvraag als zwaarste bezwaar.</w:t>
      </w:r>
    </w:p>
    <w:p>
      <w:pPr>
        <w:pStyle w:val="ListParagraph"/>
        <w:numPr>
          <w:ilvl w:val="0"/>
          <w:numId w:val="2"/>
        </w:numPr>
        <w:spacing w:after="70" w:line="280"/>
      </w:pPr>
      <w:r>
        <w:rPr>
          <w:rFonts w:ascii="Calibri" w:cs="Calibri" w:eastAsia="Calibri" w:hAnsi="Calibri"/>
          <w:color w:val="0E1A1C"/>
          <w:sz w:val="21"/>
          <w:szCs w:val="21"/>
        </w:rPr>
        <w:t xml:space="preserve">De dominante deelnemer opgemerkt en de gevolgen voor de regelvorming benoemd.</w:t>
      </w:r>
    </w:p>
    <w:p>
      <w:pPr>
        <w:pStyle w:val="ListParagraph"/>
        <w:numPr>
          <w:ilvl w:val="0"/>
          <w:numId w:val="2"/>
        </w:numPr>
        <w:spacing w:after="70" w:line="280"/>
      </w:pPr>
      <w:r>
        <w:rPr>
          <w:rFonts w:ascii="Calibri" w:cs="Calibri" w:eastAsia="Calibri" w:hAnsi="Calibri"/>
          <w:color w:val="0E1A1C"/>
          <w:sz w:val="21"/>
          <w:szCs w:val="21"/>
        </w:rPr>
        <w:t xml:space="preserve">De uittredingsclausule gevonden: geleverde data blijft bij het collectief.</w:t>
      </w:r>
    </w:p>
    <w:p>
      <w:pPr>
        <w:pStyle w:val="ListParagraph"/>
        <w:numPr>
          <w:ilvl w:val="0"/>
          <w:numId w:val="2"/>
        </w:numPr>
        <w:spacing w:after="70" w:line="280"/>
      </w:pPr>
      <w:r>
        <w:rPr>
          <w:rFonts w:ascii="Calibri" w:cs="Calibri" w:eastAsia="Calibri" w:hAnsi="Calibri"/>
          <w:color w:val="0E1A1C"/>
          <w:sz w:val="21"/>
          <w:szCs w:val="21"/>
        </w:rPr>
        <w:t xml:space="preserve">Wederkerigheid gekwantificeerd in plaats van beschreven.</w:t>
      </w:r>
    </w:p>
    <w:p>
      <w:pPr>
        <w:pStyle w:val="ListParagraph"/>
        <w:numPr>
          <w:ilvl w:val="0"/>
          <w:numId w:val="2"/>
        </w:numPr>
        <w:spacing w:after="70" w:line="280"/>
      </w:pPr>
      <w:r>
        <w:rPr>
          <w:rFonts w:ascii="Calibri" w:cs="Calibri" w:eastAsia="Calibri" w:hAnsi="Calibri"/>
          <w:color w:val="0E1A1C"/>
          <w:sz w:val="21"/>
          <w:szCs w:val="21"/>
        </w:rPr>
        <w:t xml:space="preserve">Een advies met concrete voorwaarden in plaats van een ja of nee.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Deelnemen adviseren omdat het goed staat in de sector.</w:t>
      </w:r>
    </w:p>
    <w:p>
      <w:pPr>
        <w:pStyle w:val="ListParagraph"/>
        <w:numPr>
          <w:ilvl w:val="0"/>
          <w:numId w:val="2"/>
        </w:numPr>
        <w:spacing w:after="70" w:line="280"/>
      </w:pPr>
      <w:r>
        <w:rPr>
          <w:rFonts w:ascii="Calibri" w:cs="Calibri" w:eastAsia="Calibri" w:hAnsi="Calibri"/>
          <w:color w:val="0E1A1C"/>
          <w:sz w:val="21"/>
          <w:szCs w:val="21"/>
        </w:rPr>
        <w:t xml:space="preserve">De semantiekvraag beantwoorden met "daar maken we afspraken over" zonder te bepalen wie die vaststelt.</w:t>
      </w:r>
    </w:p>
    <w:p>
      <w:pPr>
        <w:pStyle w:val="ListParagraph"/>
        <w:numPr>
          <w:ilvl w:val="0"/>
          <w:numId w:val="2"/>
        </w:numPr>
        <w:spacing w:after="70" w:line="280"/>
      </w:pPr>
      <w:r>
        <w:rPr>
          <w:rFonts w:ascii="Calibri" w:cs="Calibri" w:eastAsia="Calibri" w:hAnsi="Calibri"/>
          <w:color w:val="0E1A1C"/>
          <w:sz w:val="21"/>
          <w:szCs w:val="21"/>
        </w:rPr>
        <w:t xml:space="preserve">De uittredingsclausule missen.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is jullie benchmarkcijfer waard als elke deelnemer zijn eigen definitie hanteert?</w:t>
            </w:r>
          </w:p>
        </w:tc>
      </w:tr>
    </w:tbl>
    <w:p>
      <w:pPr>
        <w:pStyle w:val="Heading2"/>
        <w:spacing w:after="140" w:before="340"/>
      </w:pPr>
      <w:r>
        <w:rPr>
          <w:rFonts w:ascii="Cambria" w:cs="Cambria" w:eastAsia="Cambria" w:hAnsi="Cambria"/>
          <w:b/>
          <w:bCs/>
          <w:color w:val="0E1A1C"/>
          <w:sz w:val="26"/>
          <w:szCs w:val="26"/>
        </w:rPr>
        <w:t xml:space="preserve">Opdracht 5 — Externe data inkopen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zes onderwerpen beoordeeld, met een oordeel per stuk.</w:t>
      </w:r>
    </w:p>
    <w:p>
      <w:pPr>
        <w:pStyle w:val="ListParagraph"/>
        <w:numPr>
          <w:ilvl w:val="0"/>
          <w:numId w:val="2"/>
        </w:numPr>
        <w:spacing w:after="70" w:line="280"/>
      </w:pPr>
      <w:r>
        <w:rPr>
          <w:rFonts w:ascii="Calibri" w:cs="Calibri" w:eastAsia="Calibri" w:hAnsi="Calibri"/>
          <w:color w:val="0E1A1C"/>
          <w:sz w:val="21"/>
          <w:szCs w:val="21"/>
        </w:rPr>
        <w:t xml:space="preserve">De beëindigingsclausule gevonden en het afhankelijkheidsgevolg doorgedacht.</w:t>
      </w:r>
    </w:p>
    <w:p>
      <w:pPr>
        <w:pStyle w:val="ListParagraph"/>
        <w:numPr>
          <w:ilvl w:val="0"/>
          <w:numId w:val="2"/>
        </w:numPr>
        <w:spacing w:after="70" w:line="280"/>
      </w:pPr>
      <w:r>
        <w:rPr>
          <w:rFonts w:ascii="Calibri" w:cs="Calibri" w:eastAsia="Calibri" w:hAnsi="Calibri"/>
          <w:color w:val="0E1A1C"/>
          <w:sz w:val="21"/>
          <w:szCs w:val="21"/>
        </w:rPr>
        <w:t xml:space="preserve">De aansprakelijkheidsbeperking tot de licentieprijs opgemerkt, met het gevolg bij een fout in een toezichtsrapportage.</w:t>
      </w:r>
    </w:p>
    <w:p>
      <w:pPr>
        <w:pStyle w:val="ListParagraph"/>
        <w:numPr>
          <w:ilvl w:val="0"/>
          <w:numId w:val="2"/>
        </w:numPr>
        <w:spacing w:after="70" w:line="280"/>
      </w:pPr>
      <w:r>
        <w:rPr>
          <w:rFonts w:ascii="Calibri" w:cs="Calibri" w:eastAsia="Calibri" w:hAnsi="Calibri"/>
          <w:color w:val="0E1A1C"/>
          <w:sz w:val="21"/>
          <w:szCs w:val="21"/>
        </w:rPr>
        <w:t xml:space="preserve">De gebruiksrechten getoetst voor de eigen afnemers, niet alleen voor de eigen organisatie.</w:t>
      </w:r>
    </w:p>
    <w:p>
      <w:pPr>
        <w:pStyle w:val="ListParagraph"/>
        <w:numPr>
          <w:ilvl w:val="0"/>
          <w:numId w:val="2"/>
        </w:numPr>
        <w:spacing w:after="70" w:line="280"/>
      </w:pPr>
      <w:r>
        <w:rPr>
          <w:rFonts w:ascii="Calibri" w:cs="Calibri" w:eastAsia="Calibri" w:hAnsi="Calibri"/>
          <w:color w:val="0E1A1C"/>
          <w:sz w:val="21"/>
          <w:szCs w:val="21"/>
        </w:rPr>
        <w:t xml:space="preserve">Drie gewenste wijzigingen met reden.</w:t>
      </w:r>
    </w:p>
    <w:p>
      <w:pPr>
        <w:pStyle w:val="ListParagraph"/>
        <w:numPr>
          <w:ilvl w:val="0"/>
          <w:numId w:val="2"/>
        </w:numPr>
        <w:spacing w:after="70" w:line="280"/>
      </w:pPr>
      <w:r>
        <w:rPr>
          <w:rFonts w:ascii="Calibri" w:cs="Calibri" w:eastAsia="Calibri" w:hAnsi="Calibri"/>
          <w:color w:val="0E1A1C"/>
          <w:sz w:val="21"/>
          <w:szCs w:val="21"/>
        </w:rPr>
        <w:t xml:space="preserve">Een eerlijk oordeel over wie het contract had moeten beoordelen.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herkomstvraag overslaan; jouw gebruik erft de beperkingen van hun verzameling.</w:t>
      </w:r>
    </w:p>
    <w:p>
      <w:pPr>
        <w:pStyle w:val="ListParagraph"/>
        <w:numPr>
          <w:ilvl w:val="0"/>
          <w:numId w:val="2"/>
        </w:numPr>
        <w:spacing w:after="70" w:line="280"/>
      </w:pPr>
      <w:r>
        <w:rPr>
          <w:rFonts w:ascii="Calibri" w:cs="Calibri" w:eastAsia="Calibri" w:hAnsi="Calibri"/>
          <w:color w:val="0E1A1C"/>
          <w:sz w:val="21"/>
          <w:szCs w:val="21"/>
        </w:rPr>
        <w:t xml:space="preserve">De aansprakelijkheid als detail behandelen.</w:t>
      </w:r>
    </w:p>
    <w:p>
      <w:pPr>
        <w:pStyle w:val="ListParagraph"/>
        <w:numPr>
          <w:ilvl w:val="0"/>
          <w:numId w:val="2"/>
        </w:numPr>
        <w:spacing w:after="70" w:line="280"/>
      </w:pPr>
      <w:r>
        <w:rPr>
          <w:rFonts w:ascii="Calibri" w:cs="Calibri" w:eastAsia="Calibri" w:hAnsi="Calibri"/>
          <w:color w:val="0E1A1C"/>
          <w:sz w:val="21"/>
          <w:szCs w:val="21"/>
        </w:rPr>
        <w:t xml:space="preserve">Concluderen dat inkoop een zaak van Inkoop is; de architectuurgevolgen zitten in de clausules.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als deze bron een fout bevat die in jullie DNB-rapportage terechtkomt?</w:t>
            </w:r>
          </w:p>
        </w:tc>
      </w:tr>
    </w:tbl>
    <w:p>
      <w:pPr>
        <w:pStyle w:val="Heading2"/>
        <w:spacing w:after="140" w:before="340"/>
      </w:pPr>
      <w:r>
        <w:rPr>
          <w:rFonts w:ascii="Cambria" w:cs="Cambria" w:eastAsia="Cambria" w:hAnsi="Cambria"/>
          <w:b/>
          <w:bCs/>
          <w:color w:val="0E1A1C"/>
          <w:sz w:val="26"/>
          <w:szCs w:val="26"/>
        </w:rPr>
        <w:t xml:space="preserve">Opdracht 6 — Het ethisch dilemma</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expliciete uitspraak of het een juridische vraag of een afweging is.</w:t>
      </w:r>
    </w:p>
    <w:p>
      <w:pPr>
        <w:pStyle w:val="ListParagraph"/>
        <w:numPr>
          <w:ilvl w:val="0"/>
          <w:numId w:val="2"/>
        </w:numPr>
        <w:spacing w:after="70" w:line="280"/>
      </w:pPr>
      <w:r>
        <w:rPr>
          <w:rFonts w:ascii="Calibri" w:cs="Calibri" w:eastAsia="Calibri" w:hAnsi="Calibri"/>
          <w:color w:val="0E1A1C"/>
          <w:sz w:val="21"/>
          <w:szCs w:val="21"/>
        </w:rPr>
        <w:t xml:space="preserve">De vier vragen toegepast, met de precedentvraag serieus genomen.</w:t>
      </w:r>
    </w:p>
    <w:p>
      <w:pPr>
        <w:pStyle w:val="ListParagraph"/>
        <w:numPr>
          <w:ilvl w:val="0"/>
          <w:numId w:val="2"/>
        </w:numPr>
        <w:spacing w:after="70" w:line="280"/>
      </w:pPr>
      <w:r>
        <w:rPr>
          <w:rFonts w:ascii="Calibri" w:cs="Calibri" w:eastAsia="Calibri" w:hAnsi="Calibri"/>
          <w:color w:val="0E1A1C"/>
          <w:sz w:val="21"/>
          <w:szCs w:val="21"/>
        </w:rPr>
        <w:t xml:space="preserve">Benoemd wie het nadeel draagt en dat die partij niet aan tafel zit.</w:t>
      </w:r>
    </w:p>
    <w:p>
      <w:pPr>
        <w:pStyle w:val="ListParagraph"/>
        <w:numPr>
          <w:ilvl w:val="0"/>
          <w:numId w:val="2"/>
        </w:numPr>
        <w:spacing w:after="70" w:line="280"/>
      </w:pPr>
      <w:r>
        <w:rPr>
          <w:rFonts w:ascii="Calibri" w:cs="Calibri" w:eastAsia="Calibri" w:hAnsi="Calibri"/>
          <w:color w:val="0E1A1C"/>
          <w:sz w:val="21"/>
          <w:szCs w:val="21"/>
        </w:rPr>
        <w:t xml:space="preserve">Een standpunt in drie zinnen, ook als het ongemakkelijk is.</w:t>
      </w:r>
    </w:p>
    <w:p>
      <w:pPr>
        <w:pStyle w:val="ListParagraph"/>
        <w:numPr>
          <w:ilvl w:val="0"/>
          <w:numId w:val="2"/>
        </w:numPr>
        <w:spacing w:after="70" w:line="280"/>
      </w:pPr>
      <w:r>
        <w:rPr>
          <w:rFonts w:ascii="Calibri" w:cs="Calibri" w:eastAsia="Calibri" w:hAnsi="Calibri"/>
          <w:color w:val="0E1A1C"/>
          <w:sz w:val="21"/>
          <w:szCs w:val="21"/>
        </w:rPr>
        <w:t xml:space="preserve">Bij de nabespreking herkend dat het detail het oordeel heeft bewogen.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dilemma juridisch afdoen. Vraag of de jurist hier iets over te zeggen heeft.</w:t>
      </w:r>
    </w:p>
    <w:p>
      <w:pPr>
        <w:pStyle w:val="ListParagraph"/>
        <w:numPr>
          <w:ilvl w:val="0"/>
          <w:numId w:val="2"/>
        </w:numPr>
        <w:spacing w:after="70" w:line="280"/>
      </w:pPr>
      <w:r>
        <w:rPr>
          <w:rFonts w:ascii="Calibri" w:cs="Calibri" w:eastAsia="Calibri" w:hAnsi="Calibri"/>
          <w:color w:val="0E1A1C"/>
          <w:sz w:val="21"/>
          <w:szCs w:val="21"/>
        </w:rPr>
        <w:t xml:space="preserve">Geen standpunt innemen. De opdracht vraagt er één.</w:t>
      </w:r>
    </w:p>
    <w:p>
      <w:pPr>
        <w:pStyle w:val="ListParagraph"/>
        <w:numPr>
          <w:ilvl w:val="0"/>
          <w:numId w:val="2"/>
        </w:numPr>
        <w:spacing w:after="70" w:line="280"/>
      </w:pPr>
      <w:r>
        <w:rPr>
          <w:rFonts w:ascii="Calibri" w:cs="Calibri" w:eastAsia="Calibri" w:hAnsi="Calibri"/>
          <w:color w:val="0E1A1C"/>
          <w:sz w:val="21"/>
          <w:szCs w:val="21"/>
        </w:rPr>
        <w:t xml:space="preserve">Bij de nabespreking ontkennen dat het detail uitmaakte; laat de standpunten naast elkaar leggen.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Jullie hadden verschillende varianten. Wie verandert nu van oordeel — en waarom deed dat detail ertoe?</w:t>
            </w:r>
          </w:p>
        </w:tc>
      </w:tr>
    </w:tbl>
    <w:p>
      <w:pPr>
        <w:pStyle w:val="Heading2"/>
        <w:spacing w:after="140" w:before="340"/>
      </w:pPr>
      <w:r>
        <w:rPr>
          <w:rFonts w:ascii="Cambria" w:cs="Cambria" w:eastAsia="Cambria" w:hAnsi="Cambria"/>
          <w:b/>
          <w:bCs/>
          <w:color w:val="0E1A1C"/>
          <w:sz w:val="26"/>
          <w:szCs w:val="26"/>
        </w:rPr>
        <w:t xml:space="preserve">Opdracht 7 — Waarderingsnotitie aan de CFO</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Bandbreedte in de eerste zin, niet als voorbehoud achteraf.</w:t>
      </w:r>
    </w:p>
    <w:p>
      <w:pPr>
        <w:pStyle w:val="ListParagraph"/>
        <w:numPr>
          <w:ilvl w:val="0"/>
          <w:numId w:val="2"/>
        </w:numPr>
        <w:spacing w:after="70" w:line="280"/>
      </w:pPr>
      <w:r>
        <w:rPr>
          <w:rFonts w:ascii="Calibri" w:cs="Calibri" w:eastAsia="Calibri" w:hAnsi="Calibri"/>
          <w:color w:val="0E1A1C"/>
          <w:sz w:val="21"/>
          <w:szCs w:val="21"/>
        </w:rPr>
        <w:t xml:space="preserve">Dragende aannames en gevoeligheid expliciet.</w:t>
      </w:r>
    </w:p>
    <w:p>
      <w:pPr>
        <w:pStyle w:val="ListParagraph"/>
        <w:numPr>
          <w:ilvl w:val="0"/>
          <w:numId w:val="2"/>
        </w:numPr>
        <w:spacing w:after="70" w:line="280"/>
      </w:pPr>
      <w:r>
        <w:rPr>
          <w:rFonts w:ascii="Calibri" w:cs="Calibri" w:eastAsia="Calibri" w:hAnsi="Calibri"/>
          <w:color w:val="0E1A1C"/>
          <w:sz w:val="21"/>
          <w:szCs w:val="21"/>
        </w:rPr>
        <w:t xml:space="preserve">Houdbaarheid benoemd.</w:t>
      </w:r>
    </w:p>
    <w:p>
      <w:pPr>
        <w:pStyle w:val="ListParagraph"/>
        <w:numPr>
          <w:ilvl w:val="0"/>
          <w:numId w:val="2"/>
        </w:numPr>
        <w:spacing w:after="70" w:line="280"/>
      </w:pPr>
      <w:r>
        <w:rPr>
          <w:rFonts w:ascii="Calibri" w:cs="Calibri" w:eastAsia="Calibri" w:hAnsi="Calibri"/>
          <w:color w:val="0E1A1C"/>
          <w:sz w:val="21"/>
          <w:szCs w:val="21"/>
        </w:rPr>
        <w:t xml:space="preserve">Het data space-advies met voorwaarden.</w:t>
      </w:r>
    </w:p>
    <w:p>
      <w:pPr>
        <w:pStyle w:val="ListParagraph"/>
        <w:numPr>
          <w:ilvl w:val="0"/>
          <w:numId w:val="2"/>
        </w:numPr>
        <w:spacing w:after="70" w:line="280"/>
      </w:pPr>
      <w:r>
        <w:rPr>
          <w:rFonts w:ascii="Calibri" w:cs="Calibri" w:eastAsia="Calibri" w:hAnsi="Calibri"/>
          <w:color w:val="0E1A1C"/>
          <w:sz w:val="21"/>
          <w:szCs w:val="21"/>
        </w:rPr>
        <w:t xml:space="preserve">Het reputationele vraagstuk als afweging voorgelegd, niet als aanbeveling.</w:t>
      </w:r>
    </w:p>
    <w:p>
      <w:pPr>
        <w:pStyle w:val="ListParagraph"/>
        <w:numPr>
          <w:ilvl w:val="0"/>
          <w:numId w:val="2"/>
        </w:numPr>
        <w:spacing w:after="70" w:line="280"/>
      </w:pPr>
      <w:r>
        <w:rPr>
          <w:rFonts w:ascii="Calibri" w:cs="Calibri" w:eastAsia="Calibri" w:hAnsi="Calibri"/>
          <w:color w:val="0E1A1C"/>
          <w:sz w:val="21"/>
          <w:szCs w:val="21"/>
        </w:rPr>
        <w:t xml:space="preserve">Een gevraagd besluit met neescenario.</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bedrag noemen, ook als er nuance omheen staat. Dat bedrag gaat rond, de nuance niet.</w:t>
      </w:r>
    </w:p>
    <w:p>
      <w:pPr>
        <w:pStyle w:val="ListParagraph"/>
        <w:numPr>
          <w:ilvl w:val="0"/>
          <w:numId w:val="2"/>
        </w:numPr>
        <w:spacing w:after="70" w:line="280"/>
      </w:pPr>
      <w:r>
        <w:rPr>
          <w:rFonts w:ascii="Calibri" w:cs="Calibri" w:eastAsia="Calibri" w:hAnsi="Calibri"/>
          <w:color w:val="0E1A1C"/>
          <w:sz w:val="21"/>
          <w:szCs w:val="21"/>
        </w:rPr>
        <w:t xml:space="preserve">Het reputationele vraagstuk als aanbeveling formuleren; dat ontneemt de board de afweging.</w:t>
      </w:r>
    </w:p>
    <w:p>
      <w:pPr>
        <w:pStyle w:val="ListParagraph"/>
        <w:numPr>
          <w:ilvl w:val="0"/>
          <w:numId w:val="2"/>
        </w:numPr>
        <w:spacing w:after="70" w:line="280"/>
      </w:pPr>
      <w:r>
        <w:rPr>
          <w:rFonts w:ascii="Calibri" w:cs="Calibri" w:eastAsia="Calibri" w:hAnsi="Calibri"/>
          <w:color w:val="0E1A1C"/>
          <w:sz w:val="21"/>
          <w:szCs w:val="21"/>
        </w:rPr>
        <w:t xml:space="preserve">Meer dan twee pagina's.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getal onthoudt de CFO uit jouw notitie? En is dat het getal dat je wilde overbrengen?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Waarom werkt de marktbenadering slecht voor deelnemersgegevens?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Voor unieke of gereguleerde data bestaat geen markt.</w:t>
      </w:r>
    </w:p>
    <w:p>
      <w:pPr>
        <w:spacing w:after="40" w:line="275"/>
        <w:ind w:left="420"/>
      </w:pPr>
      <w:r>
        <w:rPr>
          <w:rFonts w:ascii="Calibri" w:cs="Calibri" w:eastAsia="Calibri" w:hAnsi="Calibri"/>
          <w:color w:val="5F7375"/>
          <w:sz w:val="19"/>
          <w:szCs w:val="19"/>
        </w:rPr>
        <w:t xml:space="preserve">Zonder vergelijkbare transacties is er geen marktprijs om op te baseren.</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zegt de kostenbenadering níét?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de data waard is — dure data kan waardeloos zijn.</w:t>
      </w:r>
    </w:p>
    <w:p>
      <w:pPr>
        <w:spacing w:after="40" w:line="275"/>
        <w:ind w:left="420"/>
      </w:pPr>
      <w:r>
        <w:rPr>
          <w:rFonts w:ascii="Calibri" w:cs="Calibri" w:eastAsia="Calibri" w:hAnsi="Calibri"/>
          <w:color w:val="5F7375"/>
          <w:sz w:val="19"/>
          <w:szCs w:val="19"/>
        </w:rPr>
        <w:t xml:space="preserve">Het is de meest gebruikte en minst informatieve methode.</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Waarom lever je een bandbreedte in plaats van één bedrag?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de bandbreedte laat zien waar het besluit over gaat: welke aanname de uitkomst beweegt.</w:t>
      </w:r>
    </w:p>
    <w:p>
      <w:pPr>
        <w:spacing w:after="40" w:line="275"/>
        <w:ind w:left="420"/>
      </w:pPr>
      <w:r>
        <w:rPr>
          <w:rFonts w:ascii="Calibri" w:cs="Calibri" w:eastAsia="Calibri" w:hAnsi="Calibri"/>
          <w:color w:val="5F7375"/>
          <w:sz w:val="19"/>
          <w:szCs w:val="19"/>
        </w:rPr>
        <w:t xml:space="preserve">Een board die ziet dat de uitkomst van één aanname afhangt, weet nu waarover het moet besluiten.</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Welke monetisatievorm is bij de meeste organisaties de grootste?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Interne efficiëntie</w:t>
      </w:r>
    </w:p>
    <w:p>
      <w:pPr>
        <w:spacing w:after="40" w:line="275"/>
        <w:ind w:left="420"/>
      </w:pPr>
      <w:r>
        <w:rPr>
          <w:rFonts w:ascii="Calibri" w:cs="Calibri" w:eastAsia="Calibri" w:hAnsi="Calibri"/>
          <w:color w:val="5F7375"/>
          <w:sz w:val="19"/>
          <w:szCs w:val="19"/>
        </w:rPr>
        <w:t xml:space="preserve">En de minst zichtbare, omdat de opbrengst zit in kosten die níét worden gemaakt.</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Waarom is datagovernance zo moeilijk te financieren?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grootste opbrengst zit in vermeden kosten, en die zijn onzichtbaar.</w:t>
      </w:r>
    </w:p>
    <w:p>
      <w:pPr>
        <w:spacing w:after="40" w:line="275"/>
        <w:ind w:left="420"/>
      </w:pPr>
      <w:r>
        <w:rPr>
          <w:rFonts w:ascii="Calibri" w:cs="Calibri" w:eastAsia="Calibri" w:hAnsi="Calibri"/>
          <w:color w:val="5F7375"/>
          <w:sz w:val="19"/>
          <w:szCs w:val="19"/>
        </w:rPr>
        <w:t xml:space="preserve">Er staat geen factuur tegenover, dus het telt niet mee in de gebruikelijke business case.</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is de meest onderschatte vraag vóór deelname aan een data space?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Is er gedeelde semantiek, of levert iedereen zijn eigen definities?</w:t>
      </w:r>
    </w:p>
    <w:p>
      <w:pPr>
        <w:spacing w:after="40" w:line="275"/>
        <w:ind w:left="420"/>
      </w:pPr>
      <w:r>
        <w:rPr>
          <w:rFonts w:ascii="Calibri" w:cs="Calibri" w:eastAsia="Calibri" w:hAnsi="Calibri"/>
          <w:color w:val="5F7375"/>
          <w:sz w:val="19"/>
          <w:szCs w:val="19"/>
        </w:rPr>
        <w:t xml:space="preserve">Dezelfde vraag als bij de fusie, nu tussen organisaties. Het wordt meestal pas ontdekt na de eerste publicatie.</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Wanneer is een data space geen ecosysteem maar een keten?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Als één dominante deelnemer de regels vaststelt.</w:t>
      </w:r>
    </w:p>
    <w:p>
      <w:pPr>
        <w:spacing w:after="40" w:line="275"/>
        <w:ind w:left="420"/>
      </w:pPr>
      <w:r>
        <w:rPr>
          <w:rFonts w:ascii="Calibri" w:cs="Calibri" w:eastAsia="Calibri" w:hAnsi="Calibri"/>
          <w:color w:val="5F7375"/>
          <w:sz w:val="19"/>
          <w:szCs w:val="19"/>
        </w:rPr>
        <w:t xml:space="preserve">Zonder invloed op de regels lever je data aan iemand anders zijn platform.</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is de economische functie van sectorstandaarden?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verlagen van de transactiekosten van samenwerking.</w:t>
      </w:r>
    </w:p>
    <w:p>
      <w:pPr>
        <w:spacing w:after="40" w:line="275"/>
        <w:ind w:left="420"/>
      </w:pPr>
      <w:r>
        <w:rPr>
          <w:rFonts w:ascii="Calibri" w:cs="Calibri" w:eastAsia="Calibri" w:hAnsi="Calibri"/>
          <w:color w:val="5F7375"/>
          <w:sz w:val="19"/>
          <w:szCs w:val="19"/>
        </w:rPr>
        <w:t xml:space="preserve">Zonder gedeelde standaarden is elke uitwisseling maatwerk, en maatwerk schaalt niet.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is het risico van een beëindigingsclausule die verwijdering eist?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Permanente afhankelijkheid: opzeggen betekent jaren aan afgeleide producten kwijtraken.</w:t>
      </w:r>
    </w:p>
    <w:p>
      <w:pPr>
        <w:spacing w:after="40" w:line="275"/>
        <w:ind w:left="420"/>
      </w:pPr>
      <w:r>
        <w:rPr>
          <w:rFonts w:ascii="Calibri" w:cs="Calibri" w:eastAsia="Calibri" w:hAnsi="Calibri"/>
          <w:color w:val="5F7375"/>
          <w:sz w:val="19"/>
          <w:szCs w:val="19"/>
        </w:rPr>
        <w:t xml:space="preserve">Dat is een architectuurbeslissing die als contractclausule wordt genomen, zonder dat er een architect bij zit.</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is het verschil tussen een juridisch en een reputationeel vraagstuk?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eerste heeft een antwoord dat de jurist bepaalt; het tweede is een afweging die bij de board hoort.</w:t>
      </w:r>
    </w:p>
    <w:p>
      <w:pPr>
        <w:spacing w:after="40" w:line="275"/>
        <w:ind w:left="420"/>
      </w:pPr>
      <w:r>
        <w:rPr>
          <w:rFonts w:ascii="Calibri" w:cs="Calibri" w:eastAsia="Calibri" w:hAnsi="Calibri"/>
          <w:color w:val="5F7375"/>
          <w:sz w:val="19"/>
          <w:szCs w:val="19"/>
        </w:rPr>
        <w:t xml:space="preserve">Wie het tweede als het eerste behandelt, krijgt een juridisch akkoord op iets wat de organisatie beschadigt.</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Welke ethische vraag telt op boardniveau en niet op verwerkingsniveau?</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Creëert dit een precedent dat we over vijf jaar niet meer kunnen terugdraaien?</w:t>
      </w:r>
    </w:p>
    <w:p>
      <w:pPr>
        <w:spacing w:after="40" w:line="275"/>
        <w:ind w:left="420"/>
      </w:pPr>
      <w:r>
        <w:rPr>
          <w:rFonts w:ascii="Calibri" w:cs="Calibri" w:eastAsia="Calibri" w:hAnsi="Calibri"/>
          <w:color w:val="5F7375"/>
          <w:sz w:val="19"/>
          <w:szCs w:val="19"/>
        </w:rPr>
        <w:t xml:space="preserve">Datatoepassingen zijn moeilijk af te bouwen zodra ze zijn ingebed. Dat is een strategische vraag.</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doe je als adviseur bij een reputationele afweging?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afweging als afweging voorleggen, met scenario’s en gevolgen — en benoemen wie het nadeel draagt.</w:t>
      </w:r>
    </w:p>
    <w:p>
      <w:pPr>
        <w:spacing w:after="40" w:line="275"/>
        <w:ind w:left="420"/>
      </w:pPr>
      <w:r>
        <w:rPr>
          <w:rFonts w:ascii="Calibri" w:cs="Calibri" w:eastAsia="Calibri" w:hAnsi="Calibri"/>
          <w:color w:val="5F7375"/>
          <w:sz w:val="19"/>
          <w:szCs w:val="19"/>
        </w:rPr>
        <w:t xml:space="preserve">Presenteer geen advies verpakt als analyse; bij een pensioenuitvoerder draagt de deelnemer het nadeel, en die zit zelden aan tafel.</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Zou data op de balans moeten staan? Wat zou er veranderen als dat kon?</w:t>
      </w:r>
    </w:p>
    <w:p>
      <w:pPr>
        <w:pStyle w:val="ListParagraph"/>
        <w:numPr>
          <w:ilvl w:val="0"/>
          <w:numId w:val="3"/>
        </w:numPr>
        <w:spacing w:after="70" w:line="280"/>
      </w:pPr>
      <w:r>
        <w:rPr>
          <w:rFonts w:ascii="Calibri" w:cs="Calibri" w:eastAsia="Calibri" w:hAnsi="Calibri"/>
          <w:color w:val="0E1A1C"/>
          <w:sz w:val="21"/>
          <w:szCs w:val="21"/>
        </w:rPr>
        <w:t xml:space="preserve">Is verkoop van geaggregeerde deelnemersgegevens ooit verdedigbaar?</w:t>
      </w:r>
    </w:p>
    <w:p>
      <w:pPr>
        <w:pStyle w:val="ListParagraph"/>
        <w:numPr>
          <w:ilvl w:val="0"/>
          <w:numId w:val="3"/>
        </w:numPr>
        <w:spacing w:after="70" w:line="280"/>
      </w:pPr>
      <w:r>
        <w:rPr>
          <w:rFonts w:ascii="Calibri" w:cs="Calibri" w:eastAsia="Calibri" w:hAnsi="Calibri"/>
          <w:color w:val="0E1A1C"/>
          <w:sz w:val="21"/>
          <w:szCs w:val="21"/>
        </w:rPr>
        <w:t xml:space="preserve">Wie zou de deelnemer moeten vertegenwoordigen bij een ethische afweging op boardniveau?</w:t>
      </w:r>
    </w:p>
    <w:p>
      <w:pPr>
        <w:pStyle w:val="ListParagraph"/>
        <w:numPr>
          <w:ilvl w:val="0"/>
          <w:numId w:val="3"/>
        </w:numPr>
        <w:spacing w:after="70" w:line="280"/>
      </w:pPr>
      <w:r>
        <w:rPr>
          <w:rFonts w:ascii="Calibri" w:cs="Calibri" w:eastAsia="Calibri" w:hAnsi="Calibri"/>
          <w:color w:val="0E1A1C"/>
          <w:sz w:val="21"/>
          <w:szCs w:val="21"/>
        </w:rPr>
        <w:t xml:space="preserve">Kan een organisatie deelnemen aan een ecosysteem waarvan zij de regels niet mede vaststelt?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een vierde variant maken waarin de datakwaliteit van Nautilus zwakker blijkt dan aangenomen.</w:t>
      </w:r>
    </w:p>
    <w:p>
      <w:pPr>
        <w:pStyle w:val="ListParagraph"/>
        <w:numPr>
          <w:ilvl w:val="0"/>
          <w:numId w:val="2"/>
        </w:numPr>
        <w:spacing w:after="70" w:line="280"/>
      </w:pPr>
      <w:r>
        <w:rPr>
          <w:rFonts w:ascii="Calibri" w:cs="Calibri" w:eastAsia="Calibri" w:hAnsi="Calibri"/>
          <w:color w:val="0E1A1C"/>
          <w:sz w:val="21"/>
          <w:szCs w:val="21"/>
        </w:rPr>
        <w:t xml:space="preserve">Vraag om bij opdracht 4 de voorwaarden om te zetten in concrete contractclausules.</w:t>
      </w:r>
    </w:p>
    <w:p>
      <w:pPr>
        <w:pStyle w:val="ListParagraph"/>
        <w:numPr>
          <w:ilvl w:val="0"/>
          <w:numId w:val="2"/>
        </w:numPr>
        <w:spacing w:after="70" w:line="280"/>
      </w:pPr>
      <w:r>
        <w:rPr>
          <w:rFonts w:ascii="Calibri" w:cs="Calibri" w:eastAsia="Calibri" w:hAnsi="Calibri"/>
          <w:color w:val="0E1A1C"/>
          <w:sz w:val="21"/>
          <w:szCs w:val="21"/>
        </w:rPr>
        <w:t xml:space="preserve">Laat opdracht 6 nogmaals doen met de variant die het verst van de eigen intuïtie ligt.</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1 tot twee vragen.</w:t>
      </w:r>
    </w:p>
    <w:p>
      <w:pPr>
        <w:pStyle w:val="ListParagraph"/>
        <w:numPr>
          <w:ilvl w:val="0"/>
          <w:numId w:val="2"/>
        </w:numPr>
        <w:spacing w:after="70" w:line="280"/>
      </w:pPr>
      <w:r>
        <w:rPr>
          <w:rFonts w:ascii="Calibri" w:cs="Calibri" w:eastAsia="Calibri" w:hAnsi="Calibri"/>
          <w:color w:val="0E1A1C"/>
          <w:sz w:val="21"/>
          <w:szCs w:val="21"/>
        </w:rPr>
        <w:t xml:space="preserve">Geef bij opdracht 3 de methode voor; de drie varianten zijn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5 alleen de beëindigings- en aansprakelijkheidsclausule beoordelen.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er een standaardmethode voor datawaardering?"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De methode volgt uit de vraag, en het antwoord is altijd een bandbreedte met de aannames erbij.</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je pensioengegevens geaggregeerd verkopen?"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Juridisch zelden en reputationeel vrijwel nooit verstandig. Stel de reputatievraag vóór de juridische.</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is het verschil tussen een data space en een gedeelde database?"</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een data space houd je controle over je eigen data en deel je onder afgesproken voorwaarden; bij een gedeelde database geef je die controle op.</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beoordeelt een datacontract?"</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 de praktijk Inkoop en Juridische Zaken. De architectuurgevolgen zitten echter in de clausules over beëindiging en gebruiksrechten — daar hoort iemand van data bij.</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26 — Datawaardering en data-economie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Datawaardering en data-economie — Docentenhandleiding</dc:title>
  <dc:creator>Ductus B.V.</dc:creator>
  <dc:description>Cursusmateriaal datamanagement, data-analyse en data governance</dc:description>
  <cp:lastModifiedBy>Un-named</cp:lastModifiedBy>
  <cp:revision>1</cp:revision>
  <dcterms:created xsi:type="dcterms:W3CDTF">2026-08-05T13:16:17.745Z</dcterms:created>
  <dcterms:modified xsi:type="dcterms:W3CDTF">2026-08-05T13:16:17.745Z</dcterms:modified>
</cp:coreProperties>
</file>

<file path=docProps/custom.xml><?xml version="1.0" encoding="utf-8"?>
<Properties xmlns="http://schemas.openxmlformats.org/officeDocument/2006/custom-properties" xmlns:vt="http://schemas.openxmlformats.org/officeDocument/2006/docPropsVTypes"/>
</file>