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26</w:t>
      </w:r>
    </w:p>
    <w:p>
      <w:pPr>
        <w:spacing w:after="120"/>
      </w:pPr>
      <w:r>
        <w:rPr>
          <w:rFonts w:ascii="Cambria" w:cs="Cambria" w:eastAsia="Cambria" w:hAnsi="Cambria"/>
          <w:b/>
          <w:bCs/>
          <w:color w:val="0E1A1C"/>
          <w:sz w:val="56"/>
          <w:szCs w:val="56"/>
        </w:rPr>
        <w:t xml:space="preserve">Datawaardering en data-economie</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7 uur (4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 · Governance en Ethiek, op de 80%-band</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De gefuseerde organisatie, jaar twee</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Tijdens de fusiebesprekingen is een vraag gesteld die niemand kon beantwoorden: wat is de dataportefeuille van Nautilus eigenlijk waard? De accountants hebben hem behandeld als goodwill, de CTO als een technische bijlage, en de CDO is niet gevraagd. Nu, twee jaar later, ligt er een verzoek van een branchevereniging om deel te nemen aan een data space — en de vraag komt terug.</w:t>
      </w:r>
    </w:p>
    <w:p>
      <w:pPr>
        <w:spacing w:after="140" w:line="288"/>
      </w:pPr>
      <w:r>
        <w:rPr>
          <w:rFonts w:ascii="Calibri" w:cs="Calibri" w:eastAsia="Calibri" w:hAnsi="Calibri"/>
          <w:color w:val="0E1A1C"/>
          <w:sz w:val="21"/>
          <w:szCs w:val="21"/>
        </w:rPr>
        <w:t xml:space="preserve">Dit deel gaat over de economische kant van data: hoe je waarde onderbouwt zonder te overdrijven, wanneer datadeling zinvol is, wat je bij inkoop van externe data vastlegt, en waarom de ethische vraag op dit niveau een strategisch vraagstuk wordt in plaats van een toets per verwerking.</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kiest een waarderingsmethode die past bij de vraag die de opdrachtgever stelt.</w:t>
      </w:r>
    </w:p>
    <w:p>
      <w:pPr>
        <w:pStyle w:val="ListParagraph"/>
        <w:numPr>
          <w:ilvl w:val="0"/>
          <w:numId w:val="2"/>
        </w:numPr>
        <w:spacing w:after="70" w:line="280"/>
      </w:pPr>
      <w:r>
        <w:rPr>
          <w:rFonts w:ascii="Calibri" w:cs="Calibri" w:eastAsia="Calibri" w:hAnsi="Calibri"/>
          <w:color w:val="0E1A1C"/>
          <w:sz w:val="21"/>
          <w:szCs w:val="21"/>
        </w:rPr>
        <w:t xml:space="preserve">Je onderbouwt de waarde van een dataportefeuille zonder een bedrag te suggereren dat je niet kunt verdedigen.</w:t>
      </w:r>
    </w:p>
    <w:p>
      <w:pPr>
        <w:pStyle w:val="ListParagraph"/>
        <w:numPr>
          <w:ilvl w:val="0"/>
          <w:numId w:val="2"/>
        </w:numPr>
        <w:spacing w:after="70" w:line="280"/>
      </w:pPr>
      <w:r>
        <w:rPr>
          <w:rFonts w:ascii="Calibri" w:cs="Calibri" w:eastAsia="Calibri" w:hAnsi="Calibri"/>
          <w:color w:val="0E1A1C"/>
          <w:sz w:val="21"/>
          <w:szCs w:val="21"/>
        </w:rPr>
        <w:t xml:space="preserve">Je onderscheidt de vormen van datamonetisatie en beoordeelt welke bij een pensioenuitvoerder passen.</w:t>
      </w:r>
    </w:p>
    <w:p>
      <w:pPr>
        <w:pStyle w:val="ListParagraph"/>
        <w:numPr>
          <w:ilvl w:val="0"/>
          <w:numId w:val="2"/>
        </w:numPr>
        <w:spacing w:after="70" w:line="280"/>
      </w:pPr>
      <w:r>
        <w:rPr>
          <w:rFonts w:ascii="Calibri" w:cs="Calibri" w:eastAsia="Calibri" w:hAnsi="Calibri"/>
          <w:color w:val="0E1A1C"/>
          <w:sz w:val="21"/>
          <w:szCs w:val="21"/>
        </w:rPr>
        <w:t xml:space="preserve">Je beoordeelt deelname aan een data space of ecosysteem op grond van wederkerigheid en governance.</w:t>
      </w:r>
    </w:p>
    <w:p>
      <w:pPr>
        <w:pStyle w:val="ListParagraph"/>
        <w:numPr>
          <w:ilvl w:val="0"/>
          <w:numId w:val="2"/>
        </w:numPr>
        <w:spacing w:after="70" w:line="280"/>
      </w:pPr>
      <w:r>
        <w:rPr>
          <w:rFonts w:ascii="Calibri" w:cs="Calibri" w:eastAsia="Calibri" w:hAnsi="Calibri"/>
          <w:color w:val="0E1A1C"/>
          <w:sz w:val="21"/>
          <w:szCs w:val="21"/>
        </w:rPr>
        <w:t xml:space="preserve">Je legt bij inkoop van externe data vast wat er bij afwijking en beëindiging gebeurt.</w:t>
      </w:r>
    </w:p>
    <w:p>
      <w:pPr>
        <w:pStyle w:val="ListParagraph"/>
        <w:numPr>
          <w:ilvl w:val="0"/>
          <w:numId w:val="2"/>
        </w:numPr>
        <w:spacing w:after="70" w:line="280"/>
      </w:pPr>
      <w:r>
        <w:rPr>
          <w:rFonts w:ascii="Calibri" w:cs="Calibri" w:eastAsia="Calibri" w:hAnsi="Calibri"/>
          <w:color w:val="0E1A1C"/>
          <w:sz w:val="21"/>
          <w:szCs w:val="21"/>
        </w:rPr>
        <w:t xml:space="preserve">Je voert een ethische afweging op ondernemingsniveau en formuleert die voor een board.</w:t>
      </w:r>
    </w:p>
    <w:p>
      <w:pPr>
        <w:pStyle w:val="ListParagraph"/>
        <w:numPr>
          <w:ilvl w:val="0"/>
          <w:numId w:val="2"/>
        </w:numPr>
        <w:spacing w:after="70" w:line="280"/>
      </w:pPr>
      <w:r>
        <w:rPr>
          <w:rFonts w:ascii="Calibri" w:cs="Calibri" w:eastAsia="Calibri" w:hAnsi="Calibri"/>
          <w:color w:val="0E1A1C"/>
          <w:sz w:val="21"/>
          <w:szCs w:val="21"/>
        </w:rPr>
        <w:t xml:space="preserve">Je herkent wanneer een ethisch vraagstuk reputationeel is en wanneer het juridisch is.</w:t>
      </w:r>
    </w:p>
    <w:p>
      <w:r>
        <w:br w:type="page"/>
      </w:r>
    </w:p>
    <w:p>
      <w:pPr>
        <w:pStyle w:val="Heading1"/>
        <w:spacing w:after="200" w:before="420"/>
      </w:pPr>
      <w:r>
        <w:rPr>
          <w:rFonts w:ascii="Cambria" w:cs="Cambria" w:eastAsia="Cambria" w:hAnsi="Cambria"/>
          <w:b/>
          <w:bCs/>
          <w:color w:val="1B4A48"/>
          <w:sz w:val="34"/>
          <w:szCs w:val="34"/>
        </w:rPr>
        <w:t xml:space="preserve">2. Waarom data lastig te waarderen is</w:t>
      </w:r>
    </w:p>
    <w:p>
      <w:pPr>
        <w:spacing w:after="140" w:line="288"/>
      </w:pPr>
      <w:r>
        <w:rPr>
          <w:rFonts w:ascii="Calibri" w:cs="Calibri" w:eastAsia="Calibri" w:hAnsi="Calibri"/>
          <w:color w:val="0E1A1C"/>
          <w:sz w:val="21"/>
          <w:szCs w:val="21"/>
        </w:rPr>
        <w:t xml:space="preserve">De eigenschappen uit deel 1 keren hier terug, nu met economische gevolgen. Ze verklaren waarom standaardwaarderingsmethoden niet zonder meer werken.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600"/>
        <w:gridCol w:w="6420"/>
      </w:tblGrid>
      <w:tr>
        <w:trPr>
          <w:tblHeader/>
        </w:trPr>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Eigenschap</w:t>
            </w:r>
          </w:p>
        </w:tc>
        <w:tc>
          <w:tcPr>
            <w:tcW w:type="dxa" w:w="6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Economisch gevolg</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Raakt niet op door gebruik</w:t>
            </w:r>
          </w:p>
        </w:tc>
        <w:tc>
          <w:tcPr>
            <w:tcW w:type="dxa" w:w="6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is geen schaarste die een prijs vormt; de waarde volgt uit gebruik, niet uit bezit</w:t>
            </w:r>
          </w:p>
        </w:tc>
      </w:tr>
      <w:tr>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Waarde is contextafhankelijk</w:t>
            </w:r>
          </w:p>
        </w:tc>
        <w:tc>
          <w:tcPr>
            <w:tcW w:type="dxa" w:w="6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Dezelfde dataset heeft voor twee partijen een verschillende waarde — er is dus geen objectieve prijs</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 verslechtert vanzelf</w:t>
            </w:r>
          </w:p>
        </w:tc>
        <w:tc>
          <w:tcPr>
            <w:tcW w:type="dxa" w:w="6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waarde daalt zonder onderhoud; een waardering zonder houdbaarheidsdatum is misleidend</w:t>
            </w:r>
          </w:p>
        </w:tc>
      </w:tr>
      <w:tr>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Kopiëren is kosteloos</w:t>
            </w:r>
          </w:p>
        </w:tc>
        <w:tc>
          <w:tcPr>
            <w:tcW w:type="dxa" w:w="6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Exclusiviteit is moeilijk te handhaven, wat de marktwaarde drukt</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Waarde stijgt door combinatie</w:t>
            </w:r>
          </w:p>
        </w:tc>
        <w:tc>
          <w:tcPr>
            <w:tcW w:type="dxa" w:w="6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geheel is meer waard dan de delen, en dat maakt losse waardering per dataset onnauwkeurig</w:t>
            </w:r>
          </w:p>
        </w:tc>
      </w:tr>
    </w:tbl>
    <w:p>
      <w:pPr>
        <w:spacing w:after="140"/>
      </w:pPr>
      <w:r>
        <w:t xml:space="preserve"/>
      </w:r>
    </w:p>
    <w:p>
      <w:pPr>
        <w:spacing w:after="140" w:line="288"/>
      </w:pPr>
      <w:r>
        <w:rPr>
          <w:rFonts w:ascii="Calibri" w:cs="Calibri" w:eastAsia="Calibri" w:hAnsi="Calibri"/>
          <w:color w:val="0E1A1C"/>
          <w:sz w:val="21"/>
          <w:szCs w:val="21"/>
        </w:rPr>
        <w:t xml:space="preserve">Het gevolg voor jouw werk: je levert zelden één bedrag. Je levert een bandbreedte met de methode erbij, en je bent expliciet over wat de waardering wél en niet zegt. Wie een precies bedrag noemt, wordt daarop afgerekend — en het bedrag klopt niet.</w:t>
      </w:r>
    </w:p>
    <w:p>
      <w:pPr>
        <w:pStyle w:val="Heading1"/>
        <w:spacing w:after="200" w:before="420"/>
      </w:pPr>
      <w:r>
        <w:rPr>
          <w:rFonts w:ascii="Cambria" w:cs="Cambria" w:eastAsia="Cambria" w:hAnsi="Cambria"/>
          <w:b/>
          <w:bCs/>
          <w:color w:val="1B4A48"/>
          <w:sz w:val="34"/>
          <w:szCs w:val="34"/>
        </w:rPr>
        <w:t xml:space="preserve">3. Vier waarderingsmethoden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000"/>
        <w:gridCol w:w="2200"/>
        <w:gridCol w:w="19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Methode</w:t>
            </w:r>
          </w:p>
        </w:tc>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het werkt</w:t>
            </w:r>
          </w:p>
        </w:tc>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Sterk bij</w:t>
            </w:r>
          </w:p>
        </w:tc>
        <w:tc>
          <w:tcPr>
            <w:tcW w:type="dxa" w:w="1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Zwak bij</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Kostenbenadering</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heeft het gekost om deze data op te bouwen en te onderhouden?</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Interne verantwoording, verzekering, boekhoudkundige vragen</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Zegt niets over waarde: dure data kan waardeloos zijn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Marktbenadering</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betalen anderen voor vergelijkbare data?</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Datasets met een echte markt, zoals adres- of bedrijfsgegevens</w:t>
            </w:r>
          </w:p>
        </w:tc>
        <w:tc>
          <w:tcPr>
            <w:tcW w:type="dxa" w:w="1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 unieke of gereguleerde data bestaat geen markt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Opbrengstbenadering</w:t>
            </w:r>
          </w:p>
        </w:tc>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opbrengst of besparing is aan deze data toe te schrijven?</w:t>
            </w:r>
          </w:p>
        </w:tc>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die aantoonbaar aan een proces of product bijdraagt</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Toerekening is arbitrair zodra meerdere bronnen bijdragen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Scenario- of optiebenadering</w:t>
            </w:r>
          </w:p>
        </w:tc>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mogelijkheden opent deze data, en wat is de kans daarop?</w:t>
            </w:r>
          </w:p>
        </w:tc>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Strategische vragen: een fusie, een nieuwe dienst</w:t>
            </w:r>
          </w:p>
        </w:tc>
        <w:tc>
          <w:tcPr>
            <w:tcW w:type="dxa" w:w="1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Zeer gevoelig voor aannames; makkelijk te manipuleren</w:t>
            </w:r>
          </w:p>
        </w:tc>
      </w:tr>
    </w:tbl>
    <w:p>
      <w:pPr>
        <w:spacing w:after="140"/>
      </w:pPr>
      <w:r>
        <w:t xml:space="preserve"/>
      </w:r>
    </w:p>
    <w:p>
      <w:pPr>
        <w:spacing w:after="140" w:line="288"/>
      </w:pPr>
      <w:r>
        <w:rPr>
          <w:rFonts w:ascii="Calibri" w:cs="Calibri" w:eastAsia="Calibri" w:hAnsi="Calibri"/>
          <w:color w:val="0E1A1C"/>
          <w:sz w:val="21"/>
          <w:szCs w:val="21"/>
        </w:rPr>
        <w:t xml:space="preserve">De methode volgt uit de vraag. Bij de fusie was de vraag strategisch en had de scenariobenadering gepast, met een expliciete gevoeligheidsanalyse. Bij de vraag of de organisatie moet blijven investeren in de begrippenkaders past de opbrengstbenadering. Bij een verzekeringsvraag past de kostenbenadering. Wie de methode kiest zonder de vraag te bepalen, levert een bedrag dat toevallig ergens op slaat.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bandbreedte is de opbrengst</w:t>
            </w:r>
          </w:p>
          <w:p>
            <w:pPr>
              <w:spacing w:after="60" w:line="280"/>
            </w:pPr>
            <w:r>
              <w:rPr>
                <w:rFonts w:ascii="Calibri" w:cs="Calibri" w:eastAsia="Calibri" w:hAnsi="Calibri"/>
                <w:color w:val="0E1A1C"/>
                <w:sz w:val="20"/>
                <w:szCs w:val="20"/>
              </w:rPr>
              <w:t xml:space="preserve">Lever een lage, een midden- en een hoge waardering, met per variant de aanname die hem draagt. Dat is geen slap aftreksel van een echt antwoord — het is het antwoord. Een bestuurder die ziet dat de waardering tussen twee en acht miljoen ligt afhankelijk van één aanname, weet nu waar hij over moet besluiten.</w:t>
            </w:r>
          </w:p>
        </w:tc>
      </w:tr>
    </w:tbl>
    <w:p>
      <w:pPr>
        <w:pStyle w:val="Heading1"/>
        <w:spacing w:after="200" w:before="420"/>
      </w:pPr>
      <w:r>
        <w:rPr>
          <w:rFonts w:ascii="Cambria" w:cs="Cambria" w:eastAsia="Cambria" w:hAnsi="Cambria"/>
          <w:b/>
          <w:bCs/>
          <w:color w:val="1B4A48"/>
          <w:sz w:val="34"/>
          <w:szCs w:val="34"/>
        </w:rPr>
        <w:t xml:space="preserve">4. Datamonetisatie</w:t>
      </w:r>
    </w:p>
    <w:p>
      <w:pPr>
        <w:spacing w:after="140" w:line="288"/>
      </w:pPr>
      <w:r>
        <w:rPr>
          <w:rFonts w:ascii="Calibri" w:cs="Calibri" w:eastAsia="Calibri" w:hAnsi="Calibri"/>
          <w:color w:val="0E1A1C"/>
          <w:sz w:val="21"/>
          <w:szCs w:val="21"/>
        </w:rPr>
        <w:t xml:space="preserve">Monetiseren betekent niet automatisch verkopen. Er zijn vier vormen, met sterk oplopende juridische en reputationele complexiteit.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400"/>
        <w:gridCol w:w="37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Vorm</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inhoudt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een pensioenuitvoerder</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Interne efficiëntie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Beter besluiten en minder herstelwerk door betere data</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altijd de grootste post, en de minst zichtbare</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Productverbetering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verbetert de dienstverlening aan bestaande klanten</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Persoonlijke pensioeninzichten, proactieve dienstverlening</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Datadeling in de keten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uitwisselen met partners, met wederkerigheid</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Sectorbenchmarks, ketenafspraken met werkgevers</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Verkoop of licentie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of afgeleide inzichten verkopen aan derden</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uitgesloten bij deelnemersgegevens; hooguit geaggregeerd</w:t>
            </w:r>
          </w:p>
        </w:tc>
      </w:tr>
    </w:tbl>
    <w:p>
      <w:pPr>
        <w:spacing w:after="140"/>
      </w:pPr>
      <w:r>
        <w:t xml:space="preserve"/>
      </w:r>
    </w:p>
    <w:p>
      <w:pPr>
        <w:spacing w:after="140" w:line="288"/>
      </w:pPr>
      <w:r>
        <w:rPr>
          <w:rFonts w:ascii="Calibri" w:cs="Calibri" w:eastAsia="Calibri" w:hAnsi="Calibri"/>
          <w:color w:val="0E1A1C"/>
          <w:sz w:val="21"/>
          <w:szCs w:val="21"/>
        </w:rPr>
        <w:t xml:space="preserve">De eerste vorm is bij vrijwel elke organisatie de grootste en wordt zelden monetisatie genoemd, omdat er geen factuur tegenover staat. Dat is precies waarom datagovernance zo moeilijk te financieren is: de opbrengst zit in kosten die níét worden gemaakt, en die zijn onzichtbaar.</w:t>
      </w:r>
    </w:p>
    <w:p>
      <w:pPr>
        <w:spacing w:after="140" w:line="288"/>
      </w:pPr>
      <w:r>
        <w:rPr>
          <w:rFonts w:ascii="Calibri" w:cs="Calibri" w:eastAsia="Calibri" w:hAnsi="Calibri"/>
          <w:color w:val="0E1A1C"/>
          <w:sz w:val="21"/>
          <w:szCs w:val="21"/>
        </w:rPr>
        <w:t xml:space="preserve">De vierde vorm verdient een waarschuwing. Bij een pensioenuitvoerder is verkoop van deelnemersgegevens juridisch vrijwel uitgesloten en reputationeel dodelijk, ook in geaggregeerde vorm. Wie erover nadenkt, hoort de vraag uit hoofdstuk 8 te stellen voordat hij de juridische vraag stelt.</w:t>
      </w:r>
    </w:p>
    <w:p>
      <w:r>
        <w:br w:type="page"/>
      </w:r>
    </w:p>
    <w:p>
      <w:pPr>
        <w:pStyle w:val="Heading1"/>
        <w:spacing w:after="200" w:before="420"/>
      </w:pPr>
      <w:r>
        <w:rPr>
          <w:rFonts w:ascii="Cambria" w:cs="Cambria" w:eastAsia="Cambria" w:hAnsi="Cambria"/>
          <w:b/>
          <w:bCs/>
          <w:color w:val="1B4A48"/>
          <w:sz w:val="34"/>
          <w:szCs w:val="34"/>
        </w:rPr>
        <w:t xml:space="preserve">5. Data spaces en ecosystemen</w:t>
      </w:r>
    </w:p>
    <w:p>
      <w:pPr>
        <w:spacing w:after="140" w:line="288"/>
      </w:pPr>
      <w:r>
        <w:rPr>
          <w:rFonts w:ascii="Calibri" w:cs="Calibri" w:eastAsia="Calibri" w:hAnsi="Calibri"/>
          <w:color w:val="0E1A1C"/>
          <w:sz w:val="21"/>
          <w:szCs w:val="21"/>
        </w:rPr>
        <w:t xml:space="preserve">Een data space is een afgesproken omgeving waarin partijen data uitwisselen zonder de controle erover af te staan. Europese initiatieven zoals Gaia-X en de architectuur van de International Data Spaces Association werken dit uit; de Data Governance Act regelt daarnaast de rol van datatussenpersonen en het delen uit altruïsme.</w:t>
      </w:r>
    </w:p>
    <w:p>
      <w:pPr>
        <w:pStyle w:val="Heading3"/>
        <w:spacing w:after="100" w:before="240"/>
      </w:pPr>
      <w:r>
        <w:rPr>
          <w:rFonts w:ascii="Calibri" w:cs="Calibri" w:eastAsia="Calibri" w:hAnsi="Calibri"/>
          <w:b/>
          <w:bCs/>
          <w:color w:val="3F7D74"/>
          <w:sz w:val="22"/>
          <w:szCs w:val="22"/>
        </w:rPr>
        <w:t xml:space="preserve">Vijf vragen vóór deelname</w:t>
      </w:r>
    </w:p>
    <w:p>
      <w:pPr>
        <w:pStyle w:val="ListParagraph"/>
        <w:numPr>
          <w:ilvl w:val="0"/>
          <w:numId w:val="3"/>
        </w:numPr>
        <w:spacing w:after="70" w:line="280"/>
      </w:pPr>
      <w:r>
        <w:rPr>
          <w:rFonts w:ascii="Calibri" w:cs="Calibri" w:eastAsia="Calibri" w:hAnsi="Calibri"/>
          <w:color w:val="0E1A1C"/>
          <w:sz w:val="21"/>
          <w:szCs w:val="21"/>
        </w:rPr>
        <w:t xml:space="preserve">Wederkerigheid: wat krijg je terug, en is dat in verhouding tot wat je levert? Ecosystemen waarin één partij vooral haalt, vallen uiteen.</w:t>
      </w:r>
    </w:p>
    <w:p>
      <w:pPr>
        <w:pStyle w:val="ListParagraph"/>
        <w:numPr>
          <w:ilvl w:val="0"/>
          <w:numId w:val="3"/>
        </w:numPr>
        <w:spacing w:after="70" w:line="280"/>
      </w:pPr>
      <w:r>
        <w:rPr>
          <w:rFonts w:ascii="Calibri" w:cs="Calibri" w:eastAsia="Calibri" w:hAnsi="Calibri"/>
          <w:color w:val="0E1A1C"/>
          <w:sz w:val="21"/>
          <w:szCs w:val="21"/>
        </w:rPr>
        <w:t xml:space="preserve">Governance: wie stelt de regels vast, en heb je daar invloed op? Een data space met een dominante deelnemer is geen ecosysteem maar een keten.</w:t>
      </w:r>
    </w:p>
    <w:p>
      <w:pPr>
        <w:pStyle w:val="ListParagraph"/>
        <w:numPr>
          <w:ilvl w:val="0"/>
          <w:numId w:val="3"/>
        </w:numPr>
        <w:spacing w:after="70" w:line="280"/>
      </w:pPr>
      <w:r>
        <w:rPr>
          <w:rFonts w:ascii="Calibri" w:cs="Calibri" w:eastAsia="Calibri" w:hAnsi="Calibri"/>
          <w:color w:val="0E1A1C"/>
          <w:sz w:val="21"/>
          <w:szCs w:val="21"/>
        </w:rPr>
        <w:t xml:space="preserve">Semantiek: is er een gedeeld begrippenkader, of levert iedereen zijn eigen definities aan? Zonder het eerste ontstaat er een gedeelde ruimte met onvergelijkbare data.</w:t>
      </w:r>
    </w:p>
    <w:p>
      <w:pPr>
        <w:pStyle w:val="ListParagraph"/>
        <w:numPr>
          <w:ilvl w:val="0"/>
          <w:numId w:val="3"/>
        </w:numPr>
        <w:spacing w:after="70" w:line="280"/>
      </w:pPr>
      <w:r>
        <w:rPr>
          <w:rFonts w:ascii="Calibri" w:cs="Calibri" w:eastAsia="Calibri" w:hAnsi="Calibri"/>
          <w:color w:val="0E1A1C"/>
          <w:sz w:val="21"/>
          <w:szCs w:val="21"/>
        </w:rPr>
        <w:t xml:space="preserve">Uittreding: kun je eruit, en wat gebeurt er dan met wat je hebt geleverd?</w:t>
      </w:r>
    </w:p>
    <w:p>
      <w:pPr>
        <w:pStyle w:val="ListParagraph"/>
        <w:numPr>
          <w:ilvl w:val="0"/>
          <w:numId w:val="3"/>
        </w:numPr>
        <w:spacing w:after="70" w:line="280"/>
      </w:pPr>
      <w:r>
        <w:rPr>
          <w:rFonts w:ascii="Calibri" w:cs="Calibri" w:eastAsia="Calibri" w:hAnsi="Calibri"/>
          <w:color w:val="0E1A1C"/>
          <w:sz w:val="21"/>
          <w:szCs w:val="21"/>
        </w:rPr>
        <w:t xml:space="preserve">Aansprakelijkheid: wie is verantwoordelijk als jouw data bij een andere deelnemer tot schade leidt?</w:t>
      </w:r>
    </w:p>
    <w:p>
      <w:pPr>
        <w:spacing w:after="140" w:line="288"/>
      </w:pPr>
      <w:r>
        <w:rPr>
          <w:rFonts w:ascii="Calibri" w:cs="Calibri" w:eastAsia="Calibri" w:hAnsi="Calibri"/>
          <w:color w:val="0E1A1C"/>
          <w:sz w:val="21"/>
          <w:szCs w:val="21"/>
        </w:rPr>
        <w:t xml:space="preserve">De derde vraag is de meest onderschatte en de meest herkenbare: het is dezelfde vraag als bij de fusie, nu tussen organisaties in plaats van binnen één. Een sectorbenchmark waarin elke deelnemer zijn eigen definitie van "actieve deelnemer" hanteert, produceert cijfers die niemand kan gebruiken — en dat wordt meestal pas ontdekt na de eerste publicatie.</w:t>
      </w:r>
    </w:p>
    <w:p>
      <w:pPr>
        <w:pStyle w:val="Heading1"/>
        <w:spacing w:after="200" w:before="420"/>
      </w:pPr>
      <w:r>
        <w:rPr>
          <w:rFonts w:ascii="Cambria" w:cs="Cambria" w:eastAsia="Cambria" w:hAnsi="Cambria"/>
          <w:b/>
          <w:bCs/>
          <w:color w:val="1B4A48"/>
          <w:sz w:val="34"/>
          <w:szCs w:val="34"/>
        </w:rPr>
        <w:t xml:space="preserve">6. Interoperabiliteit als economische voorwaarde</w:t>
      </w:r>
    </w:p>
    <w:p>
      <w:pPr>
        <w:spacing w:after="140" w:line="288"/>
      </w:pPr>
      <w:r>
        <w:rPr>
          <w:rFonts w:ascii="Calibri" w:cs="Calibri" w:eastAsia="Calibri" w:hAnsi="Calibri"/>
          <w:color w:val="0E1A1C"/>
          <w:sz w:val="21"/>
          <w:szCs w:val="21"/>
        </w:rPr>
        <w:t xml:space="preserve">In deel 3 was interoperabiliteit een technisch-semantisch begrip. Op dit niveau is het een economische voorwaarde: zonder gedeelde standaarden is elke uitwisseling een maatwerkproject, en maatwerk schaalt niet.</w:t>
      </w:r>
    </w:p>
    <w:p>
      <w:pPr>
        <w:pStyle w:val="ListParagraph"/>
        <w:numPr>
          <w:ilvl w:val="0"/>
          <w:numId w:val="4"/>
        </w:numPr>
        <w:spacing w:after="70" w:line="280"/>
      </w:pPr>
      <w:r>
        <w:rPr>
          <w:rFonts w:ascii="Calibri" w:cs="Calibri" w:eastAsia="Calibri" w:hAnsi="Calibri"/>
          <w:color w:val="0E1A1C"/>
          <w:sz w:val="21"/>
          <w:szCs w:val="21"/>
        </w:rPr>
        <w:t xml:space="preserve">Sectorstandaarden verlagen de transactiekosten van samenwerking. Dat is hun hele economische functie.</w:t>
      </w:r>
    </w:p>
    <w:p>
      <w:pPr>
        <w:pStyle w:val="ListParagraph"/>
        <w:numPr>
          <w:ilvl w:val="0"/>
          <w:numId w:val="4"/>
        </w:numPr>
        <w:spacing w:after="70" w:line="280"/>
      </w:pPr>
      <w:r>
        <w:rPr>
          <w:rFonts w:ascii="Calibri" w:cs="Calibri" w:eastAsia="Calibri" w:hAnsi="Calibri"/>
          <w:color w:val="0E1A1C"/>
          <w:sz w:val="21"/>
          <w:szCs w:val="21"/>
        </w:rPr>
        <w:t xml:space="preserve">Deelnemen aan standaardisatie kost tijd en levert invloed op. Wie niet meepraat, krijgt een standaard die bij een ander past.</w:t>
      </w:r>
    </w:p>
    <w:p>
      <w:pPr>
        <w:pStyle w:val="ListParagraph"/>
        <w:numPr>
          <w:ilvl w:val="0"/>
          <w:numId w:val="4"/>
        </w:numPr>
        <w:spacing w:after="70" w:line="280"/>
      </w:pPr>
      <w:r>
        <w:rPr>
          <w:rFonts w:ascii="Calibri" w:cs="Calibri" w:eastAsia="Calibri" w:hAnsi="Calibri"/>
          <w:color w:val="0E1A1C"/>
          <w:sz w:val="21"/>
          <w:szCs w:val="21"/>
        </w:rPr>
        <w:t xml:space="preserve">Een organisatie met een werkend begrippenkader kan sneller aansluiten bij een standaard dan een zonder — dat is een concreet rendement van het werk uit deel 13.</w:t>
      </w:r>
    </w:p>
    <w:p>
      <w:pPr>
        <w:pStyle w:val="ListParagraph"/>
        <w:numPr>
          <w:ilvl w:val="0"/>
          <w:numId w:val="4"/>
        </w:numPr>
        <w:spacing w:after="70" w:line="280"/>
      </w:pPr>
      <w:r>
        <w:rPr>
          <w:rFonts w:ascii="Calibri" w:cs="Calibri" w:eastAsia="Calibri" w:hAnsi="Calibri"/>
          <w:color w:val="0E1A1C"/>
          <w:sz w:val="21"/>
          <w:szCs w:val="21"/>
        </w:rPr>
        <w:t xml:space="preserve">Standaarden veranderen. Leg vast welke versie je volgt en hoe je van een wijziging hoort; dat is dezelfde afspraak als bij referentiedata in deel 14.</w:t>
      </w:r>
    </w:p>
    <w:p>
      <w:pPr>
        <w:pStyle w:val="Heading1"/>
        <w:spacing w:after="200" w:before="420"/>
      </w:pPr>
      <w:r>
        <w:rPr>
          <w:rFonts w:ascii="Cambria" w:cs="Cambria" w:eastAsia="Cambria" w:hAnsi="Cambria"/>
          <w:b/>
          <w:bCs/>
          <w:color w:val="1B4A48"/>
          <w:sz w:val="34"/>
          <w:szCs w:val="34"/>
        </w:rPr>
        <w:t xml:space="preserve">7. Externe data inkopen</w:t>
      </w:r>
    </w:p>
    <w:p>
      <w:pPr>
        <w:spacing w:after="140" w:line="288"/>
      </w:pPr>
      <w:r>
        <w:rPr>
          <w:rFonts w:ascii="Calibri" w:cs="Calibri" w:eastAsia="Calibri" w:hAnsi="Calibri"/>
          <w:color w:val="0E1A1C"/>
          <w:sz w:val="21"/>
          <w:szCs w:val="21"/>
        </w:rPr>
        <w:t xml:space="preserve">Vrijwel elke organisatie koopt data in: adresgegevens, bedrijfsgegevens, marktdata, sterftetafels. Dat is een inkooptraject met eigenschappen die bij gewone inkoop niet spelen.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3600"/>
        <w:gridCol w:w="36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Onderwerp</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vastlegt</w:t>
            </w:r>
          </w:p>
        </w:tc>
        <w:tc>
          <w:tcPr>
            <w:tcW w:type="dxa" w:w="3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Waarom</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Herkomst</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 komt de data vandaan en met welke grondslag is zij verzameld?</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Jouw gebruik erft de beperkingen van hun verzameling</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garantie, gemeten waarop, met welk gevolg bij afwijking</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Zonder gevolg is de garantie een verwachting — zie deel 15</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Actualiteit</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Verversfrequentie en maximale vertraging</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Bepaalt of je hem in een beslissend proces mag gebruiken</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Gebruiksrechten</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mag je ermee, en wat mogen je afnemers?</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Afgeleide producten zijn vaak niet meeverkocht</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Beëindiging</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je het gebruikte deel behouden, of moet je het verwijderen?</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Bepaalt of je afhankelijk wordt van doorlopende afname</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Aansprakelijkheid</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draagt de schade als de data fout is?</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altijd beperkt tot de licentieprijs — weet dat vooraf</w:t>
            </w:r>
          </w:p>
        </w:tc>
      </w:tr>
    </w:tbl>
    <w:p>
      <w:pPr>
        <w:spacing w:after="140"/>
      </w:pPr>
      <w:r>
        <w:t xml:space="preserve"/>
      </w:r>
    </w:p>
    <w:p>
      <w:pPr>
        <w:spacing w:after="140" w:line="288"/>
      </w:pPr>
      <w:r>
        <w:rPr>
          <w:rFonts w:ascii="Calibri" w:cs="Calibri" w:eastAsia="Calibri" w:hAnsi="Calibri"/>
          <w:color w:val="0E1A1C"/>
          <w:sz w:val="21"/>
          <w:szCs w:val="21"/>
        </w:rPr>
        <w:t xml:space="preserve">De vijfde rij is de sluipende. Een leverancier die bedingt dat je bij beëindiging alles moet verwijderen, maakt je permanent afhankelijk: opzeggen betekent dan dat je jaren aan afgeleide producten kwijtraakt. Dat is een architectuurbeslissing die als contractclausule wordt genomen, en het gebeurt zonder dat er een architect bij zit.</w:t>
      </w:r>
    </w:p>
    <w:p>
      <w:r>
        <w:br w:type="page"/>
      </w:r>
    </w:p>
    <w:p>
      <w:pPr>
        <w:pStyle w:val="Heading1"/>
        <w:spacing w:after="200" w:before="420"/>
      </w:pPr>
      <w:r>
        <w:rPr>
          <w:rFonts w:ascii="Cambria" w:cs="Cambria" w:eastAsia="Cambria" w:hAnsi="Cambria"/>
          <w:b/>
          <w:bCs/>
          <w:color w:val="1B4A48"/>
          <w:sz w:val="34"/>
          <w:szCs w:val="34"/>
        </w:rPr>
        <w:t xml:space="preserve">8. Ethiek op ondernemingsniveau</w:t>
      </w:r>
    </w:p>
    <w:p>
      <w:pPr>
        <w:spacing w:after="140" w:line="288"/>
      </w:pPr>
      <w:r>
        <w:rPr>
          <w:rFonts w:ascii="Calibri" w:cs="Calibri" w:eastAsia="Calibri" w:hAnsi="Calibri"/>
          <w:color w:val="0E1A1C"/>
          <w:sz w:val="21"/>
          <w:szCs w:val="21"/>
        </w:rPr>
        <w:t xml:space="preserve">In deel 7 was ethiek een toets per verwerking: zou de deelnemer verbaasd zijn? Op dit niveau is het een strategisch vraagstuk, omdat de vragen niet meer over één verwerking gaan maar over wat voor organisatie je wilt zijn.</w:t>
      </w:r>
    </w:p>
    <w:p>
      <w:pPr>
        <w:pStyle w:val="Heading3"/>
        <w:spacing w:after="100" w:before="240"/>
      </w:pPr>
      <w:r>
        <w:rPr>
          <w:rFonts w:ascii="Calibri" w:cs="Calibri" w:eastAsia="Calibri" w:hAnsi="Calibri"/>
          <w:b/>
          <w:bCs/>
          <w:color w:val="3F7D74"/>
          <w:sz w:val="22"/>
          <w:szCs w:val="22"/>
        </w:rPr>
        <w:t xml:space="preserve">Vier vragen die op boardniveau tellen</w:t>
      </w:r>
    </w:p>
    <w:p>
      <w:pPr>
        <w:pStyle w:val="ListParagraph"/>
        <w:numPr>
          <w:ilvl w:val="0"/>
          <w:numId w:val="5"/>
        </w:numPr>
        <w:spacing w:after="70" w:line="280"/>
      </w:pPr>
      <w:r>
        <w:rPr>
          <w:rFonts w:ascii="Calibri" w:cs="Calibri" w:eastAsia="Calibri" w:hAnsi="Calibri"/>
          <w:color w:val="0E1A1C"/>
          <w:sz w:val="21"/>
          <w:szCs w:val="21"/>
        </w:rPr>
        <w:t xml:space="preserve">Zou dit standhouden als het volledig openbaar werd? Niet of het uitlegbaar is, maar of het uit te leggen valt aan iemand die er nadeel van heeft.</w:t>
      </w:r>
    </w:p>
    <w:p>
      <w:pPr>
        <w:pStyle w:val="ListParagraph"/>
        <w:numPr>
          <w:ilvl w:val="0"/>
          <w:numId w:val="5"/>
        </w:numPr>
        <w:spacing w:after="70" w:line="280"/>
      </w:pPr>
      <w:r>
        <w:rPr>
          <w:rFonts w:ascii="Calibri" w:cs="Calibri" w:eastAsia="Calibri" w:hAnsi="Calibri"/>
          <w:color w:val="0E1A1C"/>
          <w:sz w:val="21"/>
          <w:szCs w:val="21"/>
        </w:rPr>
        <w:t xml:space="preserve">Verschuift dit een last van de organisatie naar de deelnemer, of andersom? Datagedreven werken doet vaak het eerste zonder dat iemand het benoemt.</w:t>
      </w:r>
    </w:p>
    <w:p>
      <w:pPr>
        <w:pStyle w:val="ListParagraph"/>
        <w:numPr>
          <w:ilvl w:val="0"/>
          <w:numId w:val="5"/>
        </w:numPr>
        <w:spacing w:after="70" w:line="280"/>
      </w:pPr>
      <w:r>
        <w:rPr>
          <w:rFonts w:ascii="Calibri" w:cs="Calibri" w:eastAsia="Calibri" w:hAnsi="Calibri"/>
          <w:color w:val="0E1A1C"/>
          <w:sz w:val="21"/>
          <w:szCs w:val="21"/>
        </w:rPr>
        <w:t xml:space="preserve">Werkt dit systematisch nadelig uit voor een groep, ook zonder dat het de bedoeling is? Dat is de vraag die met modellen groter wordt — zie deel 27.</w:t>
      </w:r>
    </w:p>
    <w:p>
      <w:pPr>
        <w:pStyle w:val="ListParagraph"/>
        <w:numPr>
          <w:ilvl w:val="0"/>
          <w:numId w:val="5"/>
        </w:numPr>
        <w:spacing w:after="70" w:line="280"/>
      </w:pPr>
      <w:r>
        <w:rPr>
          <w:rFonts w:ascii="Calibri" w:cs="Calibri" w:eastAsia="Calibri" w:hAnsi="Calibri"/>
          <w:color w:val="0E1A1C"/>
          <w:sz w:val="21"/>
          <w:szCs w:val="21"/>
        </w:rPr>
        <w:t xml:space="preserve">Creëert dit een precedent dat we over vijf jaar niet meer kunnen terugdraaien? Datatoepassingen zijn moeilijk af te bouwen zodra ze zijn ingebed.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Het onderscheid dat op dit niveau telt</w:t>
            </w:r>
          </w:p>
          <w:p>
            <w:pPr>
              <w:spacing w:after="60" w:line="280"/>
            </w:pPr>
            <w:r>
              <w:rPr>
                <w:rFonts w:ascii="Calibri" w:cs="Calibri" w:eastAsia="Calibri" w:hAnsi="Calibri"/>
                <w:color w:val="0E1A1C"/>
                <w:sz w:val="20"/>
                <w:szCs w:val="20"/>
              </w:rPr>
              <w:t xml:space="preserve">Een juridisch vraagstuk heeft een antwoord: het mag of het mag niet, en de jurist bepaalt het. Een reputationeel vraagstuk heeft geen antwoord maar een afweging, en die hoort bij de board. Wie de tweede als de eerste behandelt, krijgt een juridisch akkoord op iets wat de organisatie beschadigt — en dat is precies hoe de meeste dataschandalen ontstaan.</w:t>
            </w:r>
          </w:p>
        </w:tc>
      </w:tr>
    </w:tbl>
    <w:p>
      <w:pPr>
        <w:pStyle w:val="Heading3"/>
        <w:spacing w:after="100" w:before="240"/>
      </w:pPr>
      <w:r>
        <w:rPr>
          <w:rFonts w:ascii="Calibri" w:cs="Calibri" w:eastAsia="Calibri" w:hAnsi="Calibri"/>
          <w:b/>
          <w:bCs/>
          <w:color w:val="3F7D74"/>
          <w:sz w:val="22"/>
          <w:szCs w:val="22"/>
        </w:rPr>
        <w:t xml:space="preserve">Wat je als adviseur doet</w:t>
      </w:r>
    </w:p>
    <w:p>
      <w:pPr>
        <w:pStyle w:val="ListParagraph"/>
        <w:numPr>
          <w:ilvl w:val="0"/>
          <w:numId w:val="4"/>
        </w:numPr>
        <w:spacing w:after="70" w:line="280"/>
      </w:pPr>
      <w:r>
        <w:rPr>
          <w:rFonts w:ascii="Calibri" w:cs="Calibri" w:eastAsia="Calibri" w:hAnsi="Calibri"/>
          <w:color w:val="0E1A1C"/>
          <w:sz w:val="21"/>
          <w:szCs w:val="21"/>
        </w:rPr>
        <w:t xml:space="preserve">Maak het onderscheid expliciet: is dit een juridische vraag of een afweging?</w:t>
      </w:r>
    </w:p>
    <w:p>
      <w:pPr>
        <w:pStyle w:val="ListParagraph"/>
        <w:numPr>
          <w:ilvl w:val="0"/>
          <w:numId w:val="4"/>
        </w:numPr>
        <w:spacing w:after="70" w:line="280"/>
      </w:pPr>
      <w:r>
        <w:rPr>
          <w:rFonts w:ascii="Calibri" w:cs="Calibri" w:eastAsia="Calibri" w:hAnsi="Calibri"/>
          <w:color w:val="0E1A1C"/>
          <w:sz w:val="21"/>
          <w:szCs w:val="21"/>
        </w:rPr>
        <w:t xml:space="preserve">Bij een afweging: leg hem voor als afweging, met de scenario’s en hun gevolgen. Presenteer geen advies verpakt als analyse.</w:t>
      </w:r>
    </w:p>
    <w:p>
      <w:pPr>
        <w:pStyle w:val="ListParagraph"/>
        <w:numPr>
          <w:ilvl w:val="0"/>
          <w:numId w:val="4"/>
        </w:numPr>
        <w:spacing w:after="70" w:line="280"/>
      </w:pPr>
      <w:r>
        <w:rPr>
          <w:rFonts w:ascii="Calibri" w:cs="Calibri" w:eastAsia="Calibri" w:hAnsi="Calibri"/>
          <w:color w:val="0E1A1C"/>
          <w:sz w:val="21"/>
          <w:szCs w:val="21"/>
        </w:rPr>
        <w:t xml:space="preserve">Benoem wie het nadeel draagt en of die partij aan tafel zit. Bij een pensioenuitvoerder is dat de deelnemer, en die zit er zelden.</w:t>
      </w:r>
    </w:p>
    <w:p>
      <w:pPr>
        <w:pStyle w:val="ListParagraph"/>
        <w:numPr>
          <w:ilvl w:val="0"/>
          <w:numId w:val="4"/>
        </w:numPr>
        <w:spacing w:after="70" w:line="280"/>
      </w:pPr>
      <w:r>
        <w:rPr>
          <w:rFonts w:ascii="Calibri" w:cs="Calibri" w:eastAsia="Calibri" w:hAnsi="Calibri"/>
          <w:color w:val="0E1A1C"/>
          <w:sz w:val="21"/>
          <w:szCs w:val="21"/>
        </w:rPr>
        <w:t xml:space="preserve">Leg de afweging en het genomen besluit vast. Niet als dekking maar omdat het over vijf jaar de vraag beantwoordt hoe dit ooit is besloten.</w:t>
      </w:r>
    </w:p>
    <w:p>
      <w:pPr>
        <w:pStyle w:val="Heading1"/>
        <w:spacing w:after="200" w:before="420"/>
      </w:pPr>
      <w:r>
        <w:rPr>
          <w:rFonts w:ascii="Cambria" w:cs="Cambria" w:eastAsia="Cambria" w:hAnsi="Cambria"/>
          <w:b/>
          <w:bCs/>
          <w:color w:val="1B4A48"/>
          <w:sz w:val="34"/>
          <w:szCs w:val="34"/>
        </w:rPr>
        <w:t xml:space="preserve">9. Vijf fouten op dit niveau</w:t>
      </w:r>
    </w:p>
    <w:p>
      <w:pPr>
        <w:pStyle w:val="ListParagraph"/>
        <w:numPr>
          <w:ilvl w:val="0"/>
          <w:numId w:val="6"/>
        </w:numPr>
        <w:spacing w:after="70" w:line="280"/>
      </w:pPr>
      <w:r>
        <w:rPr>
          <w:rFonts w:ascii="Calibri" w:cs="Calibri" w:eastAsia="Calibri" w:hAnsi="Calibri"/>
          <w:color w:val="0E1A1C"/>
          <w:sz w:val="21"/>
          <w:szCs w:val="21"/>
        </w:rPr>
        <w:t xml:space="preserve">Eén bedrag noemen waar een bandbreedte hoort.</w:t>
      </w:r>
    </w:p>
    <w:p>
      <w:pPr>
        <w:pStyle w:val="ListParagraph"/>
        <w:numPr>
          <w:ilvl w:val="0"/>
          <w:numId w:val="6"/>
        </w:numPr>
        <w:spacing w:after="70" w:line="280"/>
      </w:pPr>
      <w:r>
        <w:rPr>
          <w:rFonts w:ascii="Calibri" w:cs="Calibri" w:eastAsia="Calibri" w:hAnsi="Calibri"/>
          <w:color w:val="0E1A1C"/>
          <w:sz w:val="21"/>
          <w:szCs w:val="21"/>
        </w:rPr>
        <w:t xml:space="preserve">Een waarderingsmethode kiezen zonder de vraag te bepalen die hij moet beantwoorden.</w:t>
      </w:r>
    </w:p>
    <w:p>
      <w:pPr>
        <w:pStyle w:val="ListParagraph"/>
        <w:numPr>
          <w:ilvl w:val="0"/>
          <w:numId w:val="6"/>
        </w:numPr>
        <w:spacing w:after="70" w:line="280"/>
      </w:pPr>
      <w:r>
        <w:rPr>
          <w:rFonts w:ascii="Calibri" w:cs="Calibri" w:eastAsia="Calibri" w:hAnsi="Calibri"/>
          <w:color w:val="0E1A1C"/>
          <w:sz w:val="21"/>
          <w:szCs w:val="21"/>
        </w:rPr>
        <w:t xml:space="preserve">Interne efficiëntie niet als monetisatie tellen, waardoor de grootste post uit de business case verdwijnt.</w:t>
      </w:r>
    </w:p>
    <w:p>
      <w:pPr>
        <w:pStyle w:val="ListParagraph"/>
        <w:numPr>
          <w:ilvl w:val="0"/>
          <w:numId w:val="6"/>
        </w:numPr>
        <w:spacing w:after="70" w:line="280"/>
      </w:pPr>
      <w:r>
        <w:rPr>
          <w:rFonts w:ascii="Calibri" w:cs="Calibri" w:eastAsia="Calibri" w:hAnsi="Calibri"/>
          <w:color w:val="0E1A1C"/>
          <w:sz w:val="21"/>
          <w:szCs w:val="21"/>
        </w:rPr>
        <w:t xml:space="preserve">Deelnemen aan een data space zonder gedeelde semantiek.</w:t>
      </w:r>
    </w:p>
    <w:p>
      <w:pPr>
        <w:pStyle w:val="ListParagraph"/>
        <w:numPr>
          <w:ilvl w:val="0"/>
          <w:numId w:val="6"/>
        </w:numPr>
        <w:spacing w:after="70" w:line="280"/>
      </w:pPr>
      <w:r>
        <w:rPr>
          <w:rFonts w:ascii="Calibri" w:cs="Calibri" w:eastAsia="Calibri" w:hAnsi="Calibri"/>
          <w:color w:val="0E1A1C"/>
          <w:sz w:val="21"/>
          <w:szCs w:val="21"/>
        </w:rPr>
        <w:t xml:space="preserve">Een reputationele afweging als juridische vraag behandelen.</w:t>
      </w:r>
    </w:p>
    <w:p>
      <w:pPr>
        <w:pStyle w:val="Heading1"/>
        <w:spacing w:after="200" w:before="420"/>
      </w:pPr>
      <w:r>
        <w:rPr>
          <w:rFonts w:ascii="Cambria" w:cs="Cambria" w:eastAsia="Cambria" w:hAnsi="Cambria"/>
          <w:b/>
          <w:bCs/>
          <w:color w:val="1B4A48"/>
          <w:sz w:val="34"/>
          <w:szCs w:val="34"/>
        </w:rPr>
        <w:t xml:space="preserve">10. Examenrelevantie</w:t>
      </w:r>
    </w:p>
    <w:p>
      <w:pPr>
        <w:spacing w:after="140" w:line="288"/>
      </w:pPr>
      <w:r>
        <w:rPr>
          <w:rFonts w:ascii="Calibri" w:cs="Calibri" w:eastAsia="Calibri" w:hAnsi="Calibri"/>
          <w:color w:val="0E1A1C"/>
          <w:sz w:val="21"/>
          <w:szCs w:val="21"/>
        </w:rPr>
        <w:t xml:space="preserve">Dit deel raakt de kennisgebieden Data Governance en de ethiekparagraaf van het CDMP, beide op de 80%-band. Data-ethiek is in het DMBOK een eigen onderwerp en geen bijlage bij security; dat onderscheid komt op het examen terug.</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4"/>
        </w:numPr>
        <w:spacing w:after="70" w:line="280"/>
      </w:pPr>
      <w:r>
        <w:rPr>
          <w:rFonts w:ascii="Calibri" w:cs="Calibri" w:eastAsia="Calibri" w:hAnsi="Calibri"/>
          <w:color w:val="0E1A1C"/>
          <w:sz w:val="21"/>
          <w:szCs w:val="21"/>
        </w:rPr>
        <w:t xml:space="preserve">Data als bedrijfsmiddel: de eigenschappen die waardering bemoeilijken.</w:t>
      </w:r>
    </w:p>
    <w:p>
      <w:pPr>
        <w:pStyle w:val="ListParagraph"/>
        <w:numPr>
          <w:ilvl w:val="0"/>
          <w:numId w:val="4"/>
        </w:numPr>
        <w:spacing w:after="70" w:line="280"/>
      </w:pPr>
      <w:r>
        <w:rPr>
          <w:rFonts w:ascii="Calibri" w:cs="Calibri" w:eastAsia="Calibri" w:hAnsi="Calibri"/>
          <w:color w:val="0E1A1C"/>
          <w:sz w:val="21"/>
          <w:szCs w:val="21"/>
        </w:rPr>
        <w:t xml:space="preserve">Het onderscheid tussen de waarderingsbenaderingen en hun toepasselijkheid.</w:t>
      </w:r>
    </w:p>
    <w:p>
      <w:pPr>
        <w:pStyle w:val="ListParagraph"/>
        <w:numPr>
          <w:ilvl w:val="0"/>
          <w:numId w:val="4"/>
        </w:numPr>
        <w:spacing w:after="70" w:line="280"/>
      </w:pPr>
      <w:r>
        <w:rPr>
          <w:rFonts w:ascii="Calibri" w:cs="Calibri" w:eastAsia="Calibri" w:hAnsi="Calibri"/>
          <w:color w:val="0E1A1C"/>
          <w:sz w:val="21"/>
          <w:szCs w:val="21"/>
        </w:rPr>
        <w:t xml:space="preserve">Datamonetisatie in zijn vier vormen, met interne efficiëntie als de grootste.</w:t>
      </w:r>
    </w:p>
    <w:p>
      <w:pPr>
        <w:pStyle w:val="ListParagraph"/>
        <w:numPr>
          <w:ilvl w:val="0"/>
          <w:numId w:val="4"/>
        </w:numPr>
        <w:spacing w:after="70" w:line="280"/>
      </w:pPr>
      <w:r>
        <w:rPr>
          <w:rFonts w:ascii="Calibri" w:cs="Calibri" w:eastAsia="Calibri" w:hAnsi="Calibri"/>
          <w:color w:val="0E1A1C"/>
          <w:sz w:val="21"/>
          <w:szCs w:val="21"/>
        </w:rPr>
        <w:t xml:space="preserve">Data-ethiek als eigen kennisgebied, met de relatie tot governance.</w:t>
      </w:r>
    </w:p>
    <w:p>
      <w:pPr>
        <w:pStyle w:val="ListParagraph"/>
        <w:numPr>
          <w:ilvl w:val="0"/>
          <w:numId w:val="4"/>
        </w:numPr>
        <w:spacing w:after="70" w:line="280"/>
      </w:pPr>
      <w:r>
        <w:rPr>
          <w:rFonts w:ascii="Calibri" w:cs="Calibri" w:eastAsia="Calibri" w:hAnsi="Calibri"/>
          <w:color w:val="0E1A1C"/>
          <w:sz w:val="21"/>
          <w:szCs w:val="21"/>
        </w:rPr>
        <w:t xml:space="preserve">Engels: data valuation, data monetisation, data sharing, data intermediary, data ethics, provenance.</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de hoofdstukken over data governance en data ethics in de DAMA-DMBOK2 Revised Edition — tijdens het examen het enige toegestane hulpmiddel.</w:t>
            </w:r>
          </w:p>
          <w:p>
            <w:pPr>
              <w:spacing w:after="60" w:line="280"/>
            </w:pPr>
            <w:r>
              <w:rPr>
                <w:rFonts w:ascii="Calibri" w:cs="Calibri" w:eastAsia="Calibri" w:hAnsi="Calibri"/>
                <w:color w:val="0E1A1C"/>
                <w:sz w:val="20"/>
                <w:szCs w:val="20"/>
              </w:rPr>
              <w:t xml:space="preserve">Voor data spaces: de publicaties van de Gaia-X-organisatie en van de International Data Spaces Association. Voor de rol van datatussenpersonen: de tekst van de Data Governance Act.</w:t>
            </w:r>
          </w:p>
          <w:p>
            <w:pPr>
              <w:spacing w:after="60" w:line="280"/>
            </w:pPr>
            <w:r>
              <w:rPr>
                <w:rFonts w:ascii="Calibri" w:cs="Calibri" w:eastAsia="Calibri" w:hAnsi="Calibri"/>
                <w:color w:val="0E1A1C"/>
                <w:sz w:val="20"/>
                <w:szCs w:val="20"/>
              </w:rPr>
              <w:t xml:space="preserve">Dit deel raakt wetgeving die in ontwikkeling is. Controleer de actuele stand bij de bron voordat je een advies uitbrengt.</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26 — Datawaardering en data-economie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Datawaardering en data-economie — Deelnemersreader</dc:title>
  <dc:creator>Ductus B.V.</dc:creator>
  <dc:description>Cursusmateriaal datamanagement, data-analyse en data governance</dc:description>
  <cp:lastModifiedBy>Un-named</cp:lastModifiedBy>
  <cp:revision>1</cp:revision>
  <dcterms:created xsi:type="dcterms:W3CDTF">2026-08-05T13:16:16.406Z</dcterms:created>
  <dcterms:modified xsi:type="dcterms:W3CDTF">2026-08-05T13:16:16.436Z</dcterms:modified>
</cp:coreProperties>
</file>

<file path=docProps/custom.xml><?xml version="1.0" encoding="utf-8"?>
<Properties xmlns="http://schemas.openxmlformats.org/officeDocument/2006/custom-properties" xmlns:vt="http://schemas.openxmlformats.org/officeDocument/2006/docPropsVTypes"/>
</file>