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26</w:t>
      </w:r>
    </w:p>
    <w:p>
      <w:pPr>
        <w:spacing w:after="120"/>
      </w:pPr>
      <w:r>
        <w:rPr>
          <w:rFonts w:ascii="Cambria" w:cs="Cambria" w:eastAsia="Cambria" w:hAnsi="Cambria"/>
          <w:b/>
          <w:bCs/>
          <w:color w:val="0E1A1C"/>
          <w:sz w:val="56"/>
          <w:szCs w:val="56"/>
        </w:rPr>
        <w:t xml:space="preserve">Datawaardering en data-economie</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7 uur (4 uur klassikaal, 3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Een externe databron die jouw organisatie inkoopt, met het contract als je erbij kunt</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Opdracht 1 en 2 maak je vóór de sessie. Neem een externe databron mee die jouw organisatie inkoopt, met het contract als je erbij kunt — bij opdracht 5 kijk je daar met dit kader naar.</w:t>
      </w:r>
    </w:p>
    <w:p>
      <w:pPr>
        <w:spacing w:after="140" w:line="288"/>
      </w:pPr>
      <w:r>
        <w:rPr>
          <w:rFonts w:ascii="Calibri" w:cs="Calibri" w:eastAsia="Calibri" w:hAnsi="Calibri"/>
          <w:color w:val="0E1A1C"/>
          <w:sz w:val="21"/>
          <w:szCs w:val="21"/>
        </w:rPr>
        <w:t xml:space="preserve">Opdracht 3 tot en met 6 doen we klassikaal. Opdracht 6 is een ethisch dilemma dat in vier varianten wordt uitgereikt; je krijgt er één en weet niet welke de anderen hebben.</w:t>
      </w:r>
    </w:p>
    <w:p>
      <w:pPr>
        <w:spacing w:after="140" w:line="288"/>
      </w:pPr>
      <w:r>
        <w:rPr>
          <w:rFonts w:ascii="Calibri" w:cs="Calibri" w:eastAsia="Calibri" w:hAnsi="Calibri"/>
          <w:color w:val="0E1A1C"/>
          <w:sz w:val="21"/>
          <w:szCs w:val="21"/>
        </w:rPr>
        <w:t xml:space="preserve">De casus is de gefuseerde organisatie in jaar twee. De architectuur- en governancekeuzes uit deel 22, 23 en 25 zijn uitgevoerd.</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Methode bij de vraag</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Monetisatie-inventarisatie</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De portefeuille waarderen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Data space beoordelen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Externe data inkopen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Het ethisch dilemma</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Groep</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Waarderingsnotitie aan de CFO</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40 minuten</w:t>
      </w:r>
    </w:p>
    <w:p>
      <w:pPr>
        <w:spacing w:after="140"/>
      </w:pPr>
      <w:r>
        <w:rPr>
          <w:rFonts w:ascii="Cambria" w:cs="Cambria" w:eastAsia="Cambria" w:hAnsi="Cambria"/>
          <w:b/>
          <w:bCs/>
          <w:color w:val="1B4A48"/>
          <w:sz w:val="30"/>
          <w:szCs w:val="30"/>
        </w:rPr>
        <w:t xml:space="preserve">Methode bij de vraag</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waarderingsmethode laten volgen uit de vraag in plaats van uit gewoonte.</w:t>
      </w:r>
    </w:p>
    <w:p>
      <w:pPr>
        <w:pStyle w:val="ListParagraph"/>
        <w:numPr>
          <w:ilvl w:val="0"/>
          <w:numId w:val="2"/>
        </w:numPr>
        <w:spacing w:after="70" w:line="280"/>
      </w:pPr>
      <w:r>
        <w:rPr>
          <w:rFonts w:ascii="Calibri" w:cs="Calibri" w:eastAsia="Calibri" w:hAnsi="Calibri"/>
          <w:color w:val="0E1A1C"/>
          <w:sz w:val="21"/>
          <w:szCs w:val="21"/>
        </w:rPr>
        <w:t xml:space="preserve">Neem vier vragen: de fusiewaardering, de vraag of investeren in begrippenkaders loont, een verzekeringsvraag, en de vraag of deelname aan een data space iets oplevert.</w:t>
      </w:r>
    </w:p>
    <w:p>
      <w:pPr>
        <w:pStyle w:val="ListParagraph"/>
        <w:numPr>
          <w:ilvl w:val="0"/>
          <w:numId w:val="2"/>
        </w:numPr>
        <w:spacing w:after="70" w:line="280"/>
      </w:pPr>
      <w:r>
        <w:rPr>
          <w:rFonts w:ascii="Calibri" w:cs="Calibri" w:eastAsia="Calibri" w:hAnsi="Calibri"/>
          <w:color w:val="0E1A1C"/>
          <w:sz w:val="21"/>
          <w:szCs w:val="21"/>
        </w:rPr>
        <w:t xml:space="preserve">Kies per vraag een waarderingsmethode en verantwoord de keuze in één zin.</w:t>
      </w:r>
    </w:p>
    <w:p>
      <w:pPr>
        <w:pStyle w:val="ListParagraph"/>
        <w:numPr>
          <w:ilvl w:val="0"/>
          <w:numId w:val="2"/>
        </w:numPr>
        <w:spacing w:after="70" w:line="280"/>
      </w:pPr>
      <w:r>
        <w:rPr>
          <w:rFonts w:ascii="Calibri" w:cs="Calibri" w:eastAsia="Calibri" w:hAnsi="Calibri"/>
          <w:color w:val="0E1A1C"/>
          <w:sz w:val="21"/>
          <w:szCs w:val="21"/>
        </w:rPr>
        <w:t xml:space="preserve">Benoem per methode wat hij níét zegt.</w:t>
      </w:r>
    </w:p>
    <w:p>
      <w:pPr>
        <w:pStyle w:val="ListParagraph"/>
        <w:numPr>
          <w:ilvl w:val="0"/>
          <w:numId w:val="2"/>
        </w:numPr>
        <w:spacing w:after="70" w:line="280"/>
      </w:pPr>
      <w:r>
        <w:rPr>
          <w:rFonts w:ascii="Calibri" w:cs="Calibri" w:eastAsia="Calibri" w:hAnsi="Calibri"/>
          <w:color w:val="0E1A1C"/>
          <w:sz w:val="21"/>
          <w:szCs w:val="21"/>
        </w:rPr>
        <w:t xml:space="preserve">Bepaal welke vraag zich het slechtst laat beantwoorden en waarom.</w:t>
      </w:r>
    </w:p>
    <w:p>
      <w:pPr>
        <w:pStyle w:val="ListParagraph"/>
        <w:numPr>
          <w:ilvl w:val="0"/>
          <w:numId w:val="2"/>
        </w:numPr>
        <w:spacing w:after="70" w:line="280"/>
      </w:pPr>
      <w:r>
        <w:rPr>
          <w:rFonts w:ascii="Calibri" w:cs="Calibri" w:eastAsia="Calibri" w:hAnsi="Calibri"/>
          <w:color w:val="0E1A1C"/>
          <w:sz w:val="21"/>
          <w:szCs w:val="21"/>
        </w:rPr>
        <w:t xml:space="preserve">Beschrijf wat er misgaat als je op de fusievraag de kostenbenadering had toegepast.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Vier methodekeuzes met verantwoording, en de beperking per methode.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kostenbenadering is de meest gebruikte en de minst informatieve. Hij zegt wat het heeft gekost, niet wat het waard is — en dure data kan waardeloos zijn.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35 minuten</w:t>
      </w:r>
    </w:p>
    <w:p>
      <w:pPr>
        <w:spacing w:after="140"/>
      </w:pPr>
      <w:r>
        <w:rPr>
          <w:rFonts w:ascii="Cambria" w:cs="Cambria" w:eastAsia="Cambria" w:hAnsi="Cambria"/>
          <w:b/>
          <w:bCs/>
          <w:color w:val="1B4A48"/>
          <w:sz w:val="30"/>
          <w:szCs w:val="30"/>
        </w:rPr>
        <w:t xml:space="preserve">Monetisatie-inventarisatie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vormen van monetisatie herkennen, inclusief de vorm die niemand zo noemt.</w:t>
      </w:r>
    </w:p>
    <w:p>
      <w:pPr>
        <w:pStyle w:val="ListParagraph"/>
        <w:numPr>
          <w:ilvl w:val="0"/>
          <w:numId w:val="2"/>
        </w:numPr>
        <w:spacing w:after="70" w:line="280"/>
      </w:pPr>
      <w:r>
        <w:rPr>
          <w:rFonts w:ascii="Calibri" w:cs="Calibri" w:eastAsia="Calibri" w:hAnsi="Calibri"/>
          <w:color w:val="0E1A1C"/>
          <w:sz w:val="21"/>
          <w:szCs w:val="21"/>
        </w:rPr>
        <w:t xml:space="preserve">Inventariseer voor de gefuseerde organisatie per vorm minimaal twee concrete voorbeelden.</w:t>
      </w:r>
    </w:p>
    <w:p>
      <w:pPr>
        <w:pStyle w:val="ListParagraph"/>
        <w:numPr>
          <w:ilvl w:val="0"/>
          <w:numId w:val="2"/>
        </w:numPr>
        <w:spacing w:after="70" w:line="280"/>
      </w:pPr>
      <w:r>
        <w:rPr>
          <w:rFonts w:ascii="Calibri" w:cs="Calibri" w:eastAsia="Calibri" w:hAnsi="Calibri"/>
          <w:color w:val="0E1A1C"/>
          <w:sz w:val="21"/>
          <w:szCs w:val="21"/>
        </w:rPr>
        <w:t xml:space="preserve">Schat per voorbeeld de orde van grootte, of stel vast dat dat niet kan.</w:t>
      </w:r>
    </w:p>
    <w:p>
      <w:pPr>
        <w:pStyle w:val="ListParagraph"/>
        <w:numPr>
          <w:ilvl w:val="0"/>
          <w:numId w:val="2"/>
        </w:numPr>
        <w:spacing w:after="70" w:line="280"/>
      </w:pPr>
      <w:r>
        <w:rPr>
          <w:rFonts w:ascii="Calibri" w:cs="Calibri" w:eastAsia="Calibri" w:hAnsi="Calibri"/>
          <w:color w:val="0E1A1C"/>
          <w:sz w:val="21"/>
          <w:szCs w:val="21"/>
        </w:rPr>
        <w:t xml:space="preserve">Bepaal welke vorm de grootste post oplevert en waarom die zelden zo wordt benoemd.</w:t>
      </w:r>
    </w:p>
    <w:p>
      <w:pPr>
        <w:pStyle w:val="ListParagraph"/>
        <w:numPr>
          <w:ilvl w:val="0"/>
          <w:numId w:val="2"/>
        </w:numPr>
        <w:spacing w:after="70" w:line="280"/>
      </w:pPr>
      <w:r>
        <w:rPr>
          <w:rFonts w:ascii="Calibri" w:cs="Calibri" w:eastAsia="Calibri" w:hAnsi="Calibri"/>
          <w:color w:val="0E1A1C"/>
          <w:sz w:val="21"/>
          <w:szCs w:val="21"/>
        </w:rPr>
        <w:t xml:space="preserve">Beoordeel per voorbeeld uit de vierde vorm of het juridisch en reputationeel houdbaar is.</w:t>
      </w:r>
    </w:p>
    <w:p>
      <w:pPr>
        <w:pStyle w:val="ListParagraph"/>
        <w:numPr>
          <w:ilvl w:val="0"/>
          <w:numId w:val="2"/>
        </w:numPr>
        <w:spacing w:after="70" w:line="280"/>
      </w:pPr>
      <w:r>
        <w:rPr>
          <w:rFonts w:ascii="Calibri" w:cs="Calibri" w:eastAsia="Calibri" w:hAnsi="Calibri"/>
          <w:color w:val="0E1A1C"/>
          <w:sz w:val="21"/>
          <w:szCs w:val="21"/>
        </w:rPr>
        <w:t xml:space="preserve">Doe dezelfde inventarisatie voor je eigen organisatie, op minstens drie voorbeelden.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Inventarisatie per vorm met orde van grootte, en een oordeel over de vierde vorm.</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Interne efficiëntie is bij vrijwel elke organisatie de grootste post en de minst zichtbare, omdat de opbrengst zit in kosten die níét worden gemaakt. Dat is precies waarom governance zo moeilijk te financieren is.</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65 minuten</w:t>
      </w:r>
    </w:p>
    <w:p>
      <w:pPr>
        <w:spacing w:after="140"/>
      </w:pPr>
      <w:r>
        <w:rPr>
          <w:rFonts w:ascii="Cambria" w:cs="Cambria" w:eastAsia="Cambria" w:hAnsi="Cambria"/>
          <w:b/>
          <w:bCs/>
          <w:color w:val="1B4A48"/>
          <w:sz w:val="30"/>
          <w:szCs w:val="30"/>
        </w:rPr>
        <w:t xml:space="preserve">De portefeuille waarderen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waardering opleveren die een bestuurder kan gebruiken om te besluiten.</w:t>
      </w:r>
    </w:p>
    <w:p>
      <w:pPr>
        <w:pStyle w:val="ListParagraph"/>
        <w:numPr>
          <w:ilvl w:val="0"/>
          <w:numId w:val="2"/>
        </w:numPr>
        <w:spacing w:after="70" w:line="280"/>
      </w:pPr>
      <w:r>
        <w:rPr>
          <w:rFonts w:ascii="Calibri" w:cs="Calibri" w:eastAsia="Calibri" w:hAnsi="Calibri"/>
          <w:color w:val="0E1A1C"/>
          <w:sz w:val="21"/>
          <w:szCs w:val="21"/>
        </w:rPr>
        <w:t xml:space="preserve">Je krijgt de casus: de dataportefeuille van Nautilus zoals die bij de fusie beschikbaar was.</w:t>
      </w:r>
    </w:p>
    <w:p>
      <w:pPr>
        <w:pStyle w:val="ListParagraph"/>
        <w:numPr>
          <w:ilvl w:val="0"/>
          <w:numId w:val="2"/>
        </w:numPr>
        <w:spacing w:after="70" w:line="280"/>
      </w:pPr>
      <w:r>
        <w:rPr>
          <w:rFonts w:ascii="Calibri" w:cs="Calibri" w:eastAsia="Calibri" w:hAnsi="Calibri"/>
          <w:color w:val="0E1A1C"/>
          <w:sz w:val="21"/>
          <w:szCs w:val="21"/>
        </w:rPr>
        <w:t xml:space="preserve">Kies je methode en verantwoord de keuze tegenover de vraag die de board destijds stelde.</w:t>
      </w:r>
    </w:p>
    <w:p>
      <w:pPr>
        <w:pStyle w:val="ListParagraph"/>
        <w:numPr>
          <w:ilvl w:val="0"/>
          <w:numId w:val="2"/>
        </w:numPr>
        <w:spacing w:after="70" w:line="280"/>
      </w:pPr>
      <w:r>
        <w:rPr>
          <w:rFonts w:ascii="Calibri" w:cs="Calibri" w:eastAsia="Calibri" w:hAnsi="Calibri"/>
          <w:color w:val="0E1A1C"/>
          <w:sz w:val="21"/>
          <w:szCs w:val="21"/>
        </w:rPr>
        <w:t xml:space="preserve">Bouw een lage, een midden- en een hoge waardering, met per variant de dragende aanname.</w:t>
      </w:r>
    </w:p>
    <w:p>
      <w:pPr>
        <w:pStyle w:val="ListParagraph"/>
        <w:numPr>
          <w:ilvl w:val="0"/>
          <w:numId w:val="2"/>
        </w:numPr>
        <w:spacing w:after="70" w:line="280"/>
      </w:pPr>
      <w:r>
        <w:rPr>
          <w:rFonts w:ascii="Calibri" w:cs="Calibri" w:eastAsia="Calibri" w:hAnsi="Calibri"/>
          <w:color w:val="0E1A1C"/>
          <w:sz w:val="21"/>
          <w:szCs w:val="21"/>
        </w:rPr>
        <w:t xml:space="preserve">Voer een gevoeligheidsanalyse uit: welke aanname beweegt de uitkomst het meest?</w:t>
      </w:r>
    </w:p>
    <w:p>
      <w:pPr>
        <w:pStyle w:val="ListParagraph"/>
        <w:numPr>
          <w:ilvl w:val="0"/>
          <w:numId w:val="2"/>
        </w:numPr>
        <w:spacing w:after="70" w:line="280"/>
      </w:pPr>
      <w:r>
        <w:rPr>
          <w:rFonts w:ascii="Calibri" w:cs="Calibri" w:eastAsia="Calibri" w:hAnsi="Calibri"/>
          <w:color w:val="0E1A1C"/>
          <w:sz w:val="21"/>
          <w:szCs w:val="21"/>
        </w:rPr>
        <w:t xml:space="preserve">Bepaal de houdbaarheid van je waardering: hoe lang blijft hij geldig, en waarvan hangt dat af?</w:t>
      </w:r>
    </w:p>
    <w:p>
      <w:pPr>
        <w:pStyle w:val="ListParagraph"/>
        <w:numPr>
          <w:ilvl w:val="0"/>
          <w:numId w:val="2"/>
        </w:numPr>
        <w:spacing w:after="70" w:line="280"/>
      </w:pPr>
      <w:r>
        <w:rPr>
          <w:rFonts w:ascii="Calibri" w:cs="Calibri" w:eastAsia="Calibri" w:hAnsi="Calibri"/>
          <w:color w:val="0E1A1C"/>
          <w:sz w:val="21"/>
          <w:szCs w:val="21"/>
        </w:rPr>
        <w:t xml:space="preserve">Beschrijf wat de waardering níét zegt.</w:t>
      </w:r>
    </w:p>
    <w:p>
      <w:pPr>
        <w:pStyle w:val="ListParagraph"/>
        <w:numPr>
          <w:ilvl w:val="0"/>
          <w:numId w:val="2"/>
        </w:numPr>
        <w:spacing w:after="70" w:line="280"/>
      </w:pPr>
      <w:r>
        <w:rPr>
          <w:rFonts w:ascii="Calibri" w:cs="Calibri" w:eastAsia="Calibri" w:hAnsi="Calibri"/>
          <w:color w:val="0E1A1C"/>
          <w:sz w:val="21"/>
          <w:szCs w:val="21"/>
        </w:rPr>
        <w:t xml:space="preserve">Formuleer de uitkomst in drie zinnen voor de board.</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Drie waarderingen met dragende aannames, een gevoeligheidsanalyse en drie zinnen voor de board.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bandbreedte is niet het slappe aftreksel van een echt antwoord — het is het antwoord. Een board die ziet dat de uitkomst van één aanname afhangt, weet nu waar het besluit over gaat.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55 minuten</w:t>
      </w:r>
    </w:p>
    <w:p>
      <w:pPr>
        <w:spacing w:after="140"/>
      </w:pPr>
      <w:r>
        <w:rPr>
          <w:rFonts w:ascii="Cambria" w:cs="Cambria" w:eastAsia="Cambria" w:hAnsi="Cambria"/>
          <w:b/>
          <w:bCs/>
          <w:color w:val="1B4A48"/>
          <w:sz w:val="30"/>
          <w:szCs w:val="30"/>
        </w:rPr>
        <w:t xml:space="preserve">Data space beoordelen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deelnamevoorstel toetsen op de vijf vragen die ertoe doen.</w:t>
      </w:r>
    </w:p>
    <w:p>
      <w:pPr>
        <w:pStyle w:val="ListParagraph"/>
        <w:numPr>
          <w:ilvl w:val="0"/>
          <w:numId w:val="2"/>
        </w:numPr>
        <w:spacing w:after="70" w:line="280"/>
      </w:pPr>
      <w:r>
        <w:rPr>
          <w:rFonts w:ascii="Calibri" w:cs="Calibri" w:eastAsia="Calibri" w:hAnsi="Calibri"/>
          <w:color w:val="0E1A1C"/>
          <w:sz w:val="21"/>
          <w:szCs w:val="21"/>
        </w:rPr>
        <w:t xml:space="preserve">Je krijgt het deelnamevoorstel van de branchevereniging voor een sectorbenchmark.</w:t>
      </w:r>
    </w:p>
    <w:p>
      <w:pPr>
        <w:pStyle w:val="ListParagraph"/>
        <w:numPr>
          <w:ilvl w:val="0"/>
          <w:numId w:val="2"/>
        </w:numPr>
        <w:spacing w:after="70" w:line="280"/>
      </w:pPr>
      <w:r>
        <w:rPr>
          <w:rFonts w:ascii="Calibri" w:cs="Calibri" w:eastAsia="Calibri" w:hAnsi="Calibri"/>
          <w:color w:val="0E1A1C"/>
          <w:sz w:val="21"/>
          <w:szCs w:val="21"/>
        </w:rPr>
        <w:t xml:space="preserve">Beoordeel het op de vijf vragen uit hoofdstuk 5.</w:t>
      </w:r>
    </w:p>
    <w:p>
      <w:pPr>
        <w:pStyle w:val="ListParagraph"/>
        <w:numPr>
          <w:ilvl w:val="0"/>
          <w:numId w:val="2"/>
        </w:numPr>
        <w:spacing w:after="70" w:line="280"/>
      </w:pPr>
      <w:r>
        <w:rPr>
          <w:rFonts w:ascii="Calibri" w:cs="Calibri" w:eastAsia="Calibri" w:hAnsi="Calibri"/>
          <w:color w:val="0E1A1C"/>
          <w:sz w:val="21"/>
          <w:szCs w:val="21"/>
        </w:rPr>
        <w:t xml:space="preserve">Toets de wederkerigheid: wat lever je, wat krijg je, en is dat in verhouding?</w:t>
      </w:r>
    </w:p>
    <w:p>
      <w:pPr>
        <w:pStyle w:val="ListParagraph"/>
        <w:numPr>
          <w:ilvl w:val="0"/>
          <w:numId w:val="2"/>
        </w:numPr>
        <w:spacing w:after="70" w:line="280"/>
      </w:pPr>
      <w:r>
        <w:rPr>
          <w:rFonts w:ascii="Calibri" w:cs="Calibri" w:eastAsia="Calibri" w:hAnsi="Calibri"/>
          <w:color w:val="0E1A1C"/>
          <w:sz w:val="21"/>
          <w:szCs w:val="21"/>
        </w:rPr>
        <w:t xml:space="preserve">Beoordeel de gedeelde semantiek: hoe wordt "actieve deelnemer" in de benchmark gedefinieerd, en door wie vastgesteld?</w:t>
      </w:r>
    </w:p>
    <w:p>
      <w:pPr>
        <w:pStyle w:val="ListParagraph"/>
        <w:numPr>
          <w:ilvl w:val="0"/>
          <w:numId w:val="2"/>
        </w:numPr>
        <w:spacing w:after="70" w:line="280"/>
      </w:pPr>
      <w:r>
        <w:rPr>
          <w:rFonts w:ascii="Calibri" w:cs="Calibri" w:eastAsia="Calibri" w:hAnsi="Calibri"/>
          <w:color w:val="0E1A1C"/>
          <w:sz w:val="21"/>
          <w:szCs w:val="21"/>
        </w:rPr>
        <w:t xml:space="preserve">Beoordeel de governance: wie stelt de regels vast, en is er een dominante deelnemer?</w:t>
      </w:r>
    </w:p>
    <w:p>
      <w:pPr>
        <w:pStyle w:val="ListParagraph"/>
        <w:numPr>
          <w:ilvl w:val="0"/>
          <w:numId w:val="2"/>
        </w:numPr>
        <w:spacing w:after="70" w:line="280"/>
      </w:pPr>
      <w:r>
        <w:rPr>
          <w:rFonts w:ascii="Calibri" w:cs="Calibri" w:eastAsia="Calibri" w:hAnsi="Calibri"/>
          <w:color w:val="0E1A1C"/>
          <w:sz w:val="21"/>
          <w:szCs w:val="21"/>
        </w:rPr>
        <w:t xml:space="preserve">Bepaal wat er bij uittreding gebeurt met wat je hebt geleverd.</w:t>
      </w:r>
    </w:p>
    <w:p>
      <w:pPr>
        <w:pStyle w:val="ListParagraph"/>
        <w:numPr>
          <w:ilvl w:val="0"/>
          <w:numId w:val="2"/>
        </w:numPr>
        <w:spacing w:after="70" w:line="280"/>
      </w:pPr>
      <w:r>
        <w:rPr>
          <w:rFonts w:ascii="Calibri" w:cs="Calibri" w:eastAsia="Calibri" w:hAnsi="Calibri"/>
          <w:color w:val="0E1A1C"/>
          <w:sz w:val="21"/>
          <w:szCs w:val="21"/>
        </w:rPr>
        <w:t xml:space="preserve">Formuleer je advies: deelnemen, deelnemen onder voorwaarden, of niet — met de voorwaarden concreet.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Beoordeling op vijf vragen, en een advies met concrete voorwaarden.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Een benchmark waarin elke deelnemer zijn eigen definitie hanteert, produceert cijfers die niemand kan gebruiken — en dat wordt pas ontdekt na de eerste publicatie. Dat is dezelfde vraag als bij de fusie, nu tussen organisaties.</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50 minuten</w:t>
      </w:r>
    </w:p>
    <w:p>
      <w:pPr>
        <w:spacing w:after="140"/>
      </w:pPr>
      <w:r>
        <w:rPr>
          <w:rFonts w:ascii="Cambria" w:cs="Cambria" w:eastAsia="Cambria" w:hAnsi="Cambria"/>
          <w:b/>
          <w:bCs/>
          <w:color w:val="1B4A48"/>
          <w:sz w:val="30"/>
          <w:szCs w:val="30"/>
        </w:rPr>
        <w:t xml:space="preserve">Externe data inkopen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zes onderwerpen vastleggen die bij gewone inkoop niet spelen.</w:t>
      </w:r>
    </w:p>
    <w:p>
      <w:pPr>
        <w:pStyle w:val="ListParagraph"/>
        <w:numPr>
          <w:ilvl w:val="0"/>
          <w:numId w:val="2"/>
        </w:numPr>
        <w:spacing w:after="70" w:line="280"/>
      </w:pPr>
      <w:r>
        <w:rPr>
          <w:rFonts w:ascii="Calibri" w:cs="Calibri" w:eastAsia="Calibri" w:hAnsi="Calibri"/>
          <w:color w:val="0E1A1C"/>
          <w:sz w:val="21"/>
          <w:szCs w:val="21"/>
        </w:rPr>
        <w:t xml:space="preserve">Neem de externe databron die je hebt meegenomen, of de uitgereikte casus over sterftetafels.</w:t>
      </w:r>
    </w:p>
    <w:p>
      <w:pPr>
        <w:pStyle w:val="ListParagraph"/>
        <w:numPr>
          <w:ilvl w:val="0"/>
          <w:numId w:val="2"/>
        </w:numPr>
        <w:spacing w:after="70" w:line="280"/>
      </w:pPr>
      <w:r>
        <w:rPr>
          <w:rFonts w:ascii="Calibri" w:cs="Calibri" w:eastAsia="Calibri" w:hAnsi="Calibri"/>
          <w:color w:val="0E1A1C"/>
          <w:sz w:val="21"/>
          <w:szCs w:val="21"/>
        </w:rPr>
        <w:t xml:space="preserve">Loop de zes onderwerpen uit hoofdstuk 7 langs en beoordeel per stuk wat er is vastgelegd.</w:t>
      </w:r>
    </w:p>
    <w:p>
      <w:pPr>
        <w:pStyle w:val="ListParagraph"/>
        <w:numPr>
          <w:ilvl w:val="0"/>
          <w:numId w:val="2"/>
        </w:numPr>
        <w:spacing w:after="70" w:line="280"/>
      </w:pPr>
      <w:r>
        <w:rPr>
          <w:rFonts w:ascii="Calibri" w:cs="Calibri" w:eastAsia="Calibri" w:hAnsi="Calibri"/>
          <w:color w:val="0E1A1C"/>
          <w:sz w:val="21"/>
          <w:szCs w:val="21"/>
        </w:rPr>
        <w:t xml:space="preserve">Zoek de beëindigingsclausule op en bepaal of je bij opzegging afgeleide producten kwijtraakt.</w:t>
      </w:r>
    </w:p>
    <w:p>
      <w:pPr>
        <w:pStyle w:val="ListParagraph"/>
        <w:numPr>
          <w:ilvl w:val="0"/>
          <w:numId w:val="2"/>
        </w:numPr>
        <w:spacing w:after="70" w:line="280"/>
      </w:pPr>
      <w:r>
        <w:rPr>
          <w:rFonts w:ascii="Calibri" w:cs="Calibri" w:eastAsia="Calibri" w:hAnsi="Calibri"/>
          <w:color w:val="0E1A1C"/>
          <w:sz w:val="21"/>
          <w:szCs w:val="21"/>
        </w:rPr>
        <w:t xml:space="preserve">Bepaal tot welk bedrag de aansprakelijkheid is beperkt.</w:t>
      </w:r>
    </w:p>
    <w:p>
      <w:pPr>
        <w:pStyle w:val="ListParagraph"/>
        <w:numPr>
          <w:ilvl w:val="0"/>
          <w:numId w:val="2"/>
        </w:numPr>
        <w:spacing w:after="70" w:line="280"/>
      </w:pPr>
      <w:r>
        <w:rPr>
          <w:rFonts w:ascii="Calibri" w:cs="Calibri" w:eastAsia="Calibri" w:hAnsi="Calibri"/>
          <w:color w:val="0E1A1C"/>
          <w:sz w:val="21"/>
          <w:szCs w:val="21"/>
        </w:rPr>
        <w:t xml:space="preserve">Beoordeel of jouw gebruik binnen de gebruiksrechten valt, ook voor je afnemers.</w:t>
      </w:r>
    </w:p>
    <w:p>
      <w:pPr>
        <w:pStyle w:val="ListParagraph"/>
        <w:numPr>
          <w:ilvl w:val="0"/>
          <w:numId w:val="2"/>
        </w:numPr>
        <w:spacing w:after="70" w:line="280"/>
      </w:pPr>
      <w:r>
        <w:rPr>
          <w:rFonts w:ascii="Calibri" w:cs="Calibri" w:eastAsia="Calibri" w:hAnsi="Calibri"/>
          <w:color w:val="0E1A1C"/>
          <w:sz w:val="21"/>
          <w:szCs w:val="21"/>
        </w:rPr>
        <w:t xml:space="preserve">Formuleer de drie clausules die je bij verlenging zou willen wijzigen, met de reden.</w:t>
      </w:r>
    </w:p>
    <w:p>
      <w:pPr>
        <w:pStyle w:val="ListParagraph"/>
        <w:numPr>
          <w:ilvl w:val="0"/>
          <w:numId w:val="2"/>
        </w:numPr>
        <w:spacing w:after="70" w:line="280"/>
      </w:pPr>
      <w:r>
        <w:rPr>
          <w:rFonts w:ascii="Calibri" w:cs="Calibri" w:eastAsia="Calibri" w:hAnsi="Calibri"/>
          <w:color w:val="0E1A1C"/>
          <w:sz w:val="21"/>
          <w:szCs w:val="21"/>
        </w:rPr>
        <w:t xml:space="preserve">Bepaal wie in jouw organisatie dit contract had moeten beoordelen en of dat is gebeurd.</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Beoordeling op zes onderwerpen, drie gewenste wijzigingen, en een oordeel over de beoordelingsroute.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beëindigingsclausule is de sluipende. Een leverancier die eist dat je bij opzegging alles verwijdert, maakt je permanent afhankelijk — en dat is een architectuurbeslissing die als contractclausule wordt genomen, zonder architect erbij.</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50 minuten</w:t>
      </w:r>
    </w:p>
    <w:p>
      <w:pPr>
        <w:spacing w:after="140"/>
      </w:pPr>
      <w:r>
        <w:rPr>
          <w:rFonts w:ascii="Cambria" w:cs="Cambria" w:eastAsia="Cambria" w:hAnsi="Cambria"/>
          <w:b/>
          <w:bCs/>
          <w:color w:val="1B4A48"/>
          <w:sz w:val="30"/>
          <w:szCs w:val="30"/>
        </w:rPr>
        <w:t xml:space="preserve">Het ethisch dilemma</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afweging op boardniveau voeren en het onderscheid juridisch-reputationeel maken.</w:t>
      </w:r>
    </w:p>
    <w:p>
      <w:pPr>
        <w:pStyle w:val="ListParagraph"/>
        <w:numPr>
          <w:ilvl w:val="0"/>
          <w:numId w:val="2"/>
        </w:numPr>
        <w:spacing w:after="70" w:line="280"/>
      </w:pPr>
      <w:r>
        <w:rPr>
          <w:rFonts w:ascii="Calibri" w:cs="Calibri" w:eastAsia="Calibri" w:hAnsi="Calibri"/>
          <w:color w:val="0E1A1C"/>
          <w:sz w:val="21"/>
          <w:szCs w:val="21"/>
        </w:rPr>
        <w:t xml:space="preserve">Je krijgt één van vier varianten van hetzelfde dilemma. Lees hem, maar vertel niet welke je hebt.</w:t>
      </w:r>
    </w:p>
    <w:p>
      <w:pPr>
        <w:pStyle w:val="ListParagraph"/>
        <w:numPr>
          <w:ilvl w:val="0"/>
          <w:numId w:val="2"/>
        </w:numPr>
        <w:spacing w:after="70" w:line="280"/>
      </w:pPr>
      <w:r>
        <w:rPr>
          <w:rFonts w:ascii="Calibri" w:cs="Calibri" w:eastAsia="Calibri" w:hAnsi="Calibri"/>
          <w:color w:val="0E1A1C"/>
          <w:sz w:val="21"/>
          <w:szCs w:val="21"/>
        </w:rPr>
        <w:t xml:space="preserve">Bepaal individueel of dit een juridische vraag is of een afweging.</w:t>
      </w:r>
    </w:p>
    <w:p>
      <w:pPr>
        <w:pStyle w:val="ListParagraph"/>
        <w:numPr>
          <w:ilvl w:val="0"/>
          <w:numId w:val="2"/>
        </w:numPr>
        <w:spacing w:after="70" w:line="280"/>
      </w:pPr>
      <w:r>
        <w:rPr>
          <w:rFonts w:ascii="Calibri" w:cs="Calibri" w:eastAsia="Calibri" w:hAnsi="Calibri"/>
          <w:color w:val="0E1A1C"/>
          <w:sz w:val="21"/>
          <w:szCs w:val="21"/>
        </w:rPr>
        <w:t xml:space="preserve">Pas de vier vragen uit hoofdstuk 8 toe.</w:t>
      </w:r>
    </w:p>
    <w:p>
      <w:pPr>
        <w:pStyle w:val="ListParagraph"/>
        <w:numPr>
          <w:ilvl w:val="0"/>
          <w:numId w:val="2"/>
        </w:numPr>
        <w:spacing w:after="70" w:line="280"/>
      </w:pPr>
      <w:r>
        <w:rPr>
          <w:rFonts w:ascii="Calibri" w:cs="Calibri" w:eastAsia="Calibri" w:hAnsi="Calibri"/>
          <w:color w:val="0E1A1C"/>
          <w:sz w:val="21"/>
          <w:szCs w:val="21"/>
        </w:rPr>
        <w:t xml:space="preserve">Bepaal wie het nadeel draagt en of die partij aan tafel zit.</w:t>
      </w:r>
    </w:p>
    <w:p>
      <w:pPr>
        <w:pStyle w:val="ListParagraph"/>
        <w:numPr>
          <w:ilvl w:val="0"/>
          <w:numId w:val="2"/>
        </w:numPr>
        <w:spacing w:after="70" w:line="280"/>
      </w:pPr>
      <w:r>
        <w:rPr>
          <w:rFonts w:ascii="Calibri" w:cs="Calibri" w:eastAsia="Calibri" w:hAnsi="Calibri"/>
          <w:color w:val="0E1A1C"/>
          <w:sz w:val="21"/>
          <w:szCs w:val="21"/>
        </w:rPr>
        <w:t xml:space="preserve">Formuleer je standpunt in drie zinnen.</w:t>
      </w:r>
    </w:p>
    <w:p>
      <w:pPr>
        <w:pStyle w:val="ListParagraph"/>
        <w:numPr>
          <w:ilvl w:val="0"/>
          <w:numId w:val="2"/>
        </w:numPr>
        <w:spacing w:after="70" w:line="280"/>
      </w:pPr>
      <w:r>
        <w:rPr>
          <w:rFonts w:ascii="Calibri" w:cs="Calibri" w:eastAsia="Calibri" w:hAnsi="Calibri"/>
          <w:color w:val="0E1A1C"/>
          <w:sz w:val="21"/>
          <w:szCs w:val="21"/>
        </w:rPr>
        <w:t xml:space="preserve">Bespreek plenair. Pas daarna maakt de docent bekend welke varianten er in omloop waren.</w:t>
      </w:r>
    </w:p>
    <w:p>
      <w:pPr>
        <w:pStyle w:val="ListParagraph"/>
        <w:numPr>
          <w:ilvl w:val="0"/>
          <w:numId w:val="2"/>
        </w:numPr>
        <w:spacing w:after="70" w:line="280"/>
      </w:pPr>
      <w:r>
        <w:rPr>
          <w:rFonts w:ascii="Calibri" w:cs="Calibri" w:eastAsia="Calibri" w:hAnsi="Calibri"/>
          <w:color w:val="0E1A1C"/>
          <w:sz w:val="21"/>
          <w:szCs w:val="21"/>
        </w:rPr>
        <w:t xml:space="preserve">Beschrijf wat het verschil tussen de varianten met je oordeel deed.</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Individueel standpunt in drie zinnen, plus een reflectie op het varianteneffect.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vier varianten verschillen op één detail. Dat detail verandert bij de meeste mensen het oordeel, terwijl niemand het als doorslaggevend zou benoemen. Dat is de les.</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70 minuten</w:t>
      </w:r>
    </w:p>
    <w:p>
      <w:pPr>
        <w:spacing w:after="140"/>
      </w:pPr>
      <w:r>
        <w:rPr>
          <w:rFonts w:ascii="Cambria" w:cs="Cambria" w:eastAsia="Cambria" w:hAnsi="Cambria"/>
          <w:b/>
          <w:bCs/>
          <w:color w:val="1B4A48"/>
          <w:sz w:val="30"/>
          <w:szCs w:val="30"/>
        </w:rPr>
        <w:t xml:space="preserve">Waarderingsnotitie aan de CFO</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waardering en de vervolgvragen in één notitie brengen.</w:t>
      </w:r>
    </w:p>
    <w:p>
      <w:pPr>
        <w:pStyle w:val="ListParagraph"/>
        <w:numPr>
          <w:ilvl w:val="0"/>
          <w:numId w:val="2"/>
        </w:numPr>
        <w:spacing w:after="70" w:line="280"/>
      </w:pPr>
      <w:r>
        <w:rPr>
          <w:rFonts w:ascii="Calibri" w:cs="Calibri" w:eastAsia="Calibri" w:hAnsi="Calibri"/>
          <w:color w:val="0E1A1C"/>
          <w:sz w:val="21"/>
          <w:szCs w:val="21"/>
        </w:rPr>
        <w:t xml:space="preserve">Schrijf een notitie van maximaal twee pagina’s aan de CFO.</w:t>
      </w:r>
    </w:p>
    <w:p>
      <w:pPr>
        <w:pStyle w:val="ListParagraph"/>
        <w:numPr>
          <w:ilvl w:val="0"/>
          <w:numId w:val="2"/>
        </w:numPr>
        <w:spacing w:after="70" w:line="280"/>
      </w:pPr>
      <w:r>
        <w:rPr>
          <w:rFonts w:ascii="Calibri" w:cs="Calibri" w:eastAsia="Calibri" w:hAnsi="Calibri"/>
          <w:color w:val="0E1A1C"/>
          <w:sz w:val="21"/>
          <w:szCs w:val="21"/>
        </w:rPr>
        <w:t xml:space="preserve">Geef de bandbreedte met de dragende aannames en de gevoeligheid.</w:t>
      </w:r>
    </w:p>
    <w:p>
      <w:pPr>
        <w:pStyle w:val="ListParagraph"/>
        <w:numPr>
          <w:ilvl w:val="0"/>
          <w:numId w:val="2"/>
        </w:numPr>
        <w:spacing w:after="70" w:line="280"/>
      </w:pPr>
      <w:r>
        <w:rPr>
          <w:rFonts w:ascii="Calibri" w:cs="Calibri" w:eastAsia="Calibri" w:hAnsi="Calibri"/>
          <w:color w:val="0E1A1C"/>
          <w:sz w:val="21"/>
          <w:szCs w:val="21"/>
        </w:rPr>
        <w:t xml:space="preserve">Benoem de houdbaarheid van de waardering.</w:t>
      </w:r>
    </w:p>
    <w:p>
      <w:pPr>
        <w:pStyle w:val="ListParagraph"/>
        <w:numPr>
          <w:ilvl w:val="0"/>
          <w:numId w:val="2"/>
        </w:numPr>
        <w:spacing w:after="70" w:line="280"/>
      </w:pPr>
      <w:r>
        <w:rPr>
          <w:rFonts w:ascii="Calibri" w:cs="Calibri" w:eastAsia="Calibri" w:hAnsi="Calibri"/>
          <w:color w:val="0E1A1C"/>
          <w:sz w:val="21"/>
          <w:szCs w:val="21"/>
        </w:rPr>
        <w:t xml:space="preserve">Voeg het advies over de data space toe, met de voorwaarden.</w:t>
      </w:r>
    </w:p>
    <w:p>
      <w:pPr>
        <w:pStyle w:val="ListParagraph"/>
        <w:numPr>
          <w:ilvl w:val="0"/>
          <w:numId w:val="2"/>
        </w:numPr>
        <w:spacing w:after="70" w:line="280"/>
      </w:pPr>
      <w:r>
        <w:rPr>
          <w:rFonts w:ascii="Calibri" w:cs="Calibri" w:eastAsia="Calibri" w:hAnsi="Calibri"/>
          <w:color w:val="0E1A1C"/>
          <w:sz w:val="21"/>
          <w:szCs w:val="21"/>
        </w:rPr>
        <w:t xml:space="preserve">Benoem het reputationele vraagstuk uit opdracht 6 als afweging, niet als aanbeveling.</w:t>
      </w:r>
    </w:p>
    <w:p>
      <w:pPr>
        <w:pStyle w:val="ListParagraph"/>
        <w:numPr>
          <w:ilvl w:val="0"/>
          <w:numId w:val="2"/>
        </w:numPr>
        <w:spacing w:after="70" w:line="280"/>
      </w:pPr>
      <w:r>
        <w:rPr>
          <w:rFonts w:ascii="Calibri" w:cs="Calibri" w:eastAsia="Calibri" w:hAnsi="Calibri"/>
          <w:color w:val="0E1A1C"/>
          <w:sz w:val="21"/>
          <w:szCs w:val="21"/>
        </w:rPr>
        <w:t xml:space="preserve">Formuleer het gevraagde besluit: wat, van wie, vóór wanneer, en wat er gebeurt bij nee.</w:t>
      </w:r>
    </w:p>
    <w:p>
      <w:pPr>
        <w:pStyle w:val="ListParagraph"/>
        <w:numPr>
          <w:ilvl w:val="0"/>
          <w:numId w:val="2"/>
        </w:numPr>
        <w:spacing w:after="70" w:line="280"/>
      </w:pPr>
      <w:r>
        <w:rPr>
          <w:rFonts w:ascii="Calibri" w:cs="Calibri" w:eastAsia="Calibri" w:hAnsi="Calibri"/>
          <w:color w:val="0E1A1C"/>
          <w:sz w:val="21"/>
          <w:szCs w:val="21"/>
        </w:rPr>
        <w:t xml:space="preserve">Laat een medecursist beoordelen of de notitie een bedrag suggereert dat je niet kunt verdedigen.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Notitie van maximaal twee pagina’s met bandbreedte, advies en een gevraagd besluit.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Een notitie die één bedrag noemt, wordt onthouden om dat bedrag — ook als er drie bladzijden nuance omheen stonden. Zet de bandbreedte in de eerste zin.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Waarom werkt de marktbenadering slecht voor deelnemersgegevens?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data is te oud.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Voor unieke of gereguleerde data bestaat geen markt.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kwaliteit is te laag.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AVG verbiedt waardering.</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Wat zegt de kostenbenadering níét?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Wat het heeft gekost.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Wat de data waard is — dure data kan waardeloos zijn.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Hoeveel onderhoud er nodig is.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Wie de data heeft opgebouwd.</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Waarom lever je een bandbreedte in plaats van één bedrag?</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Om jezelf in te dekken.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Omdat de bandbreedte laat zien waar het besluit over gaat: welke aanname de uitkomst beweegt.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Omdat één bedrag te veel rekenwerk is.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Omdat accountants dat eisen.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Welke monetisatievorm is bij de meeste organisaties de grootste?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Verkoop aan derden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Interne efficiëntie</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Productverbetering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Datadeling in de keten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Waarom is datagovernance zo moeilijk te financieren?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is te technisch.</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grootste opbrengst zit in vermeden kosten, en die zijn onzichtbaar.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Er is geen leverancier die het levert.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Toezichthouders eisen het niet.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Wat is de meest onderschatte vraag vóór deelname aan een data space?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Wat kost het?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Is er gedeelde semantiek, of levert iedereen zijn eigen definities?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Wie zijn de andere deelnemers?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Hoe lang loopt het initiatief?</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Wanneer is een data space geen ecosysteem maar een keten?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Bij minder dan vijf deelnemers.</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Als één dominante deelnemer de regels vaststelt.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Als er geen tussenpersoon is.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Als er geen contributie wordt betaald.</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Wat is de economische functie van sectorstandaarden?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Kwaliteitsborging.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Het verlagen van de transactiekosten van samenwerking.</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Toezichtsnaleving.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Concurrentiebeperking.</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Wat is het risico van een beëindigingsclausule die verwijdering eist?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Hogere kosten bij opzegging.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Permanente afhankelijkheid: opzeggen betekent jaren aan afgeleide producten kwijtraken.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Juridische aansprakelijkheid.</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Verlies van herkomst.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Wat is het verschil tussen een juridisch en een reputationeel vraagstuk?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Er is geen verschil.</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Het eerste heeft een antwoord dat de jurist bepaalt; het tweede is een afweging die bij de board hoort.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eerste is belangrijker.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tweede is altijd verboden.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Welke ethische vraag telt op boardniveau en niet op verwerkingsniveau?</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Is er een grondslag?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Creëert dit een precedent dat we over vijf jaar niet meer kunnen terugdraaien?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Is er een DPIA gedaan?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Is de bewaartermijn vastgesteld?</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Wat doe je als adviseur bij een reputationele afweging?</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advies geven.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afweging als afweging voorleggen, met scenario’s en gevolgen — en benoemen wie het nadeel draagt.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jurist laten beslissen.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vraag doorschuiven naar de FG.</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Welke waardering heb jij ooit gezien die als één bedrag rondging terwijl er een bandbreedte onder lag?</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Welke externe databron in jouw organisatie is contractueel onopzegbaar geworden?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 reputationeel vraagstuk in jouw praktijk is als juridische vraag behandeld?</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26 — Datawaardering en data-economie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Datawaardering en data-economie — Werkboek</dc:title>
  <dc:creator>Ductus B.V.</dc:creator>
  <dc:description>Cursusmateriaal datamanagement, data-analyse en data governance</dc:description>
  <cp:lastModifiedBy>Un-named</cp:lastModifiedBy>
  <cp:revision>1</cp:revision>
  <dcterms:created xsi:type="dcterms:W3CDTF">2026-08-05T13:16:17.238Z</dcterms:created>
  <dcterms:modified xsi:type="dcterms:W3CDTF">2026-08-05T13:16:17.238Z</dcterms:modified>
</cp:coreProperties>
</file>

<file path=docProps/custom.xml><?xml version="1.0" encoding="utf-8"?>
<Properties xmlns="http://schemas.openxmlformats.org/officeDocument/2006/custom-properties" xmlns:vt="http://schemas.openxmlformats.org/officeDocument/2006/docPropsVTypes"/>
</file>