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27</w:t>
      </w:r>
    </w:p>
    <w:p>
      <w:pPr>
        <w:spacing w:after="120"/>
      </w:pPr>
      <w:r>
        <w:rPr>
          <w:rFonts w:ascii="Cambria" w:cs="Cambria" w:eastAsia="Cambria" w:hAnsi="Cambria"/>
          <w:b/>
          <w:bCs/>
          <w:color w:val="0E1A1C"/>
          <w:sz w:val="56"/>
          <w:szCs w:val="56"/>
        </w:rPr>
        <w:t xml:space="preserve">AI- en modelgovernance</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6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AI-inventarisatie met twaalf toepassingen, modelkaart, driftrapport, RAG-ontwerp</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27 gelezen; deel 17, 25 en 26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een eigen AI-toepassing meegenomen. Benadruk vooraf dat een scoringsregel in een spreadsheet telt; anders komt de helft met niets.</w:t>
      </w:r>
    </w:p>
    <w:p>
      <w:pPr>
        <w:pStyle w:val="ListParagraph"/>
        <w:numPr>
          <w:ilvl w:val="0"/>
          <w:numId w:val="2"/>
        </w:numPr>
        <w:spacing w:after="70" w:line="280"/>
      </w:pPr>
      <w:r>
        <w:rPr>
          <w:rFonts w:ascii="Calibri" w:cs="Calibri" w:eastAsia="Calibri" w:hAnsi="Calibri"/>
          <w:color w:val="0E1A1C"/>
          <w:sz w:val="21"/>
          <w:szCs w:val="21"/>
        </w:rPr>
        <w:t xml:space="preserve">Controleer vóór de sessie de actuele stand van de regelgeving en van de AIGP-examenstof. Dit deel veroudert sneller dan de rest en een verouderde uitspraak in de zaal kost je geloofwaardigheid.</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AI-inventarisatie met twaalf toepassingen: drie die zo heten, vier regelgebaseerde die eronder vallen, drie die via een leveranciersfunctie zijn binnengekomen, en twee spreadsheetmodellen. Neem er één op die duidelijk in de hoog-risicohoek valt en twee die betwistbaar zijn.</w:t>
      </w:r>
    </w:p>
    <w:p>
      <w:pPr>
        <w:pStyle w:val="ListParagraph"/>
        <w:numPr>
          <w:ilvl w:val="0"/>
          <w:numId w:val="2"/>
        </w:numPr>
        <w:spacing w:after="70" w:line="280"/>
      </w:pPr>
      <w:r>
        <w:rPr>
          <w:rFonts w:ascii="Calibri" w:cs="Calibri" w:eastAsia="Calibri" w:hAnsi="Calibri"/>
          <w:color w:val="0E1A1C"/>
          <w:sz w:val="21"/>
          <w:szCs w:val="21"/>
        </w:rPr>
        <w:t xml:space="preserve">De modelkaart van het verloopvoorspellingsmodel, geaccepteerd door de ontwikkelaar zelf, zonder prestatie per groep en zonder uitfaseringsvoorwaarde.</w:t>
      </w:r>
    </w:p>
    <w:p>
      <w:pPr>
        <w:pStyle w:val="ListParagraph"/>
        <w:numPr>
          <w:ilvl w:val="0"/>
          <w:numId w:val="2"/>
        </w:numPr>
        <w:spacing w:after="70" w:line="280"/>
      </w:pPr>
      <w:r>
        <w:rPr>
          <w:rFonts w:ascii="Calibri" w:cs="Calibri" w:eastAsia="Calibri" w:hAnsi="Calibri"/>
          <w:color w:val="0E1A1C"/>
          <w:sz w:val="21"/>
          <w:szCs w:val="21"/>
        </w:rPr>
        <w:t xml:space="preserve">Uitkomstgegevens voor opdracht 4, zo opgebouwd dat de drie fairnessmaten aantoonbaar niet samengaan, met postcode als proxy in de kenmerkenlijst.</w:t>
      </w:r>
    </w:p>
    <w:p>
      <w:pPr>
        <w:pStyle w:val="ListParagraph"/>
        <w:numPr>
          <w:ilvl w:val="0"/>
          <w:numId w:val="2"/>
        </w:numPr>
        <w:spacing w:after="70" w:line="280"/>
      </w:pPr>
      <w:r>
        <w:rPr>
          <w:rFonts w:ascii="Calibri" w:cs="Calibri" w:eastAsia="Calibri" w:hAnsi="Calibri"/>
          <w:color w:val="0E1A1C"/>
          <w:sz w:val="21"/>
          <w:szCs w:val="21"/>
        </w:rPr>
        <w:t xml:space="preserve">Een driftrapport over achttien maanden met datadrift vanaf maand zes, een vlakke prestatiescore doordat terugkoppeling ontbreekt, en een stijgend afwijkpercentage.</w:t>
      </w:r>
    </w:p>
    <w:p>
      <w:pPr>
        <w:pStyle w:val="ListParagraph"/>
        <w:numPr>
          <w:ilvl w:val="0"/>
          <w:numId w:val="2"/>
        </w:numPr>
        <w:spacing w:after="70" w:line="280"/>
      </w:pPr>
      <w:r>
        <w:rPr>
          <w:rFonts w:ascii="Calibri" w:cs="Calibri" w:eastAsia="Calibri" w:hAnsi="Calibri"/>
          <w:color w:val="0E1A1C"/>
          <w:sz w:val="21"/>
          <w:szCs w:val="21"/>
        </w:rPr>
        <w:t xml:space="preserve">Een RAG-architectuurplaat waarin de zoeklaag een eigen geïndexeerde kopie aanlegt zonder autorisatie over te nemen.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deel bouwt op deel 17 voor de privacykant, op deel 25 voor de governance-inrichting, en op deel 26 voor de ethische afweging op boardniveau. Het is de kern van de voorbereiding op de AIGP. De inrichting die hier wordt ontworpen, komt terug in de masterproef van deel 29.</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negen van de twaalf heetten geen AI</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hoeveel toepassingen men in de eigen organisatie vond; de spreiding is het punt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Levensloop en classificatie,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tekende voor acceptatie is de scherpste vraag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classificatie en gates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derde poort is de kern; stuur daarop</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bias meetbaar maken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de onverenigbaarheid zelf ontdekken; dat werkt beter dan uitleggen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3:20–4:15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driftrapport</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afwijkpercentage is de vondst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4:15–5:15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RAG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toegangslek wordt door ongeveer de helft gemist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5:15–6:00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Terugkoppeling en 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uitzetten; benadruk het argument tegen een tweede structuur</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AI-inventarisatie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twaalf beoordeeld, met de vier regelgebaseerde correct meegenomen.</w:t>
      </w:r>
    </w:p>
    <w:p>
      <w:pPr>
        <w:pStyle w:val="ListParagraph"/>
        <w:numPr>
          <w:ilvl w:val="0"/>
          <w:numId w:val="2"/>
        </w:numPr>
        <w:spacing w:after="70" w:line="280"/>
      </w:pPr>
      <w:r>
        <w:rPr>
          <w:rFonts w:ascii="Calibri" w:cs="Calibri" w:eastAsia="Calibri" w:hAnsi="Calibri"/>
          <w:color w:val="0E1A1C"/>
          <w:sz w:val="21"/>
          <w:szCs w:val="21"/>
        </w:rPr>
        <w:t xml:space="preserve">De drie leveranciersfuncties herkend als toepassingen zonder eigen besluit — dat is het lastigste type.</w:t>
      </w:r>
    </w:p>
    <w:p>
      <w:pPr>
        <w:pStyle w:val="ListParagraph"/>
        <w:numPr>
          <w:ilvl w:val="0"/>
          <w:numId w:val="2"/>
        </w:numPr>
        <w:spacing w:after="70" w:line="280"/>
      </w:pPr>
      <w:r>
        <w:rPr>
          <w:rFonts w:ascii="Calibri" w:cs="Calibri" w:eastAsia="Calibri" w:hAnsi="Calibri"/>
          <w:color w:val="0E1A1C"/>
          <w:sz w:val="21"/>
          <w:szCs w:val="21"/>
        </w:rPr>
        <w:t xml:space="preserve">Per toepassing een empirische toets voor aanbevelen-of-beslissen: meet het afwijkpercentage.</w:t>
      </w:r>
    </w:p>
    <w:p>
      <w:pPr>
        <w:pStyle w:val="ListParagraph"/>
        <w:numPr>
          <w:ilvl w:val="0"/>
          <w:numId w:val="2"/>
        </w:numPr>
        <w:spacing w:after="70" w:line="280"/>
      </w:pPr>
      <w:r>
        <w:rPr>
          <w:rFonts w:ascii="Calibri" w:cs="Calibri" w:eastAsia="Calibri" w:hAnsi="Calibri"/>
          <w:color w:val="0E1A1C"/>
          <w:sz w:val="21"/>
          <w:szCs w:val="21"/>
        </w:rPr>
        <w:t xml:space="preserve">Een eigen inventarisatie met meer toepassingen dan verwacht.</w:t>
      </w:r>
    </w:p>
    <w:p>
      <w:pPr>
        <w:pStyle w:val="ListParagraph"/>
        <w:numPr>
          <w:ilvl w:val="0"/>
          <w:numId w:val="2"/>
        </w:numPr>
        <w:spacing w:after="70" w:line="280"/>
      </w:pPr>
      <w:r>
        <w:rPr>
          <w:rFonts w:ascii="Calibri" w:cs="Calibri" w:eastAsia="Calibri" w:hAnsi="Calibri"/>
          <w:color w:val="0E1A1C"/>
          <w:sz w:val="21"/>
          <w:szCs w:val="21"/>
        </w:rPr>
        <w:t xml:space="preserve">Een registratieroute die meelift op een bestaand proces.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de drie herkennen die AI heten.</w:t>
      </w:r>
    </w:p>
    <w:p>
      <w:pPr>
        <w:pStyle w:val="ListParagraph"/>
        <w:numPr>
          <w:ilvl w:val="0"/>
          <w:numId w:val="2"/>
        </w:numPr>
        <w:spacing w:after="70" w:line="280"/>
      </w:pPr>
      <w:r>
        <w:rPr>
          <w:rFonts w:ascii="Calibri" w:cs="Calibri" w:eastAsia="Calibri" w:hAnsi="Calibri"/>
          <w:color w:val="0E1A1C"/>
          <w:sz w:val="21"/>
          <w:szCs w:val="21"/>
        </w:rPr>
        <w:t xml:space="preserve">Regelgebaseerde toepassingen uitsluiten omdat ze niet leren; de governancevragen zijn grotendeels dezelfde.</w:t>
      </w:r>
    </w:p>
    <w:p>
      <w:pPr>
        <w:pStyle w:val="ListParagraph"/>
        <w:numPr>
          <w:ilvl w:val="0"/>
          <w:numId w:val="2"/>
        </w:numPr>
        <w:spacing w:after="70" w:line="280"/>
      </w:pPr>
      <w:r>
        <w:rPr>
          <w:rFonts w:ascii="Calibri" w:cs="Calibri" w:eastAsia="Calibri" w:hAnsi="Calibri"/>
          <w:color w:val="0E1A1C"/>
          <w:sz w:val="21"/>
          <w:szCs w:val="21"/>
        </w:rPr>
        <w:t xml:space="preserve">De actualiteitsvraag overslaan; dan is de inventarisatie binnen een jaar verouderd.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toepassingen vond je in je eigen organisatie? En hoeveel wist je er vooraf van?</w:t>
            </w:r>
          </w:p>
        </w:tc>
      </w:tr>
    </w:tbl>
    <w:p>
      <w:pPr>
        <w:pStyle w:val="Heading2"/>
        <w:spacing w:after="140" w:before="340"/>
      </w:pPr>
      <w:r>
        <w:rPr>
          <w:rFonts w:ascii="Cambria" w:cs="Cambria" w:eastAsia="Cambria" w:hAnsi="Cambria"/>
          <w:b/>
          <w:bCs/>
          <w:color w:val="0E1A1C"/>
          <w:sz w:val="26"/>
          <w:szCs w:val="26"/>
        </w:rPr>
        <w:t xml:space="preserve">Opdracht 2 — Modelkaart beoordelen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Direct gekeken naar wie heeft getekend, en vastgesteld dat de ontwikkelaar zichzelf accepteerde.</w:t>
      </w:r>
    </w:p>
    <w:p>
      <w:pPr>
        <w:pStyle w:val="ListParagraph"/>
        <w:numPr>
          <w:ilvl w:val="0"/>
          <w:numId w:val="2"/>
        </w:numPr>
        <w:spacing w:after="70" w:line="280"/>
      </w:pPr>
      <w:r>
        <w:rPr>
          <w:rFonts w:ascii="Calibri" w:cs="Calibri" w:eastAsia="Calibri" w:hAnsi="Calibri"/>
          <w:color w:val="0E1A1C"/>
          <w:sz w:val="21"/>
          <w:szCs w:val="21"/>
        </w:rPr>
        <w:t xml:space="preserve">De ontbrekende prestatie per groep opgemerkt.</w:t>
      </w:r>
    </w:p>
    <w:p>
      <w:pPr>
        <w:pStyle w:val="ListParagraph"/>
        <w:numPr>
          <w:ilvl w:val="0"/>
          <w:numId w:val="2"/>
        </w:numPr>
        <w:spacing w:after="70" w:line="280"/>
      </w:pPr>
      <w:r>
        <w:rPr>
          <w:rFonts w:ascii="Calibri" w:cs="Calibri" w:eastAsia="Calibri" w:hAnsi="Calibri"/>
          <w:color w:val="0E1A1C"/>
          <w:sz w:val="21"/>
          <w:szCs w:val="21"/>
        </w:rPr>
        <w:t xml:space="preserve">De ontbrekende uitfaseringsvoorwaarde opgemerkt.</w:t>
      </w:r>
    </w:p>
    <w:p>
      <w:pPr>
        <w:pStyle w:val="ListParagraph"/>
        <w:numPr>
          <w:ilvl w:val="0"/>
          <w:numId w:val="2"/>
        </w:numPr>
        <w:spacing w:after="70" w:line="280"/>
      </w:pPr>
      <w:r>
        <w:rPr>
          <w:rFonts w:ascii="Calibri" w:cs="Calibri" w:eastAsia="Calibri" w:hAnsi="Calibri"/>
          <w:color w:val="0E1A1C"/>
          <w:sz w:val="21"/>
          <w:szCs w:val="21"/>
        </w:rPr>
        <w:t xml:space="preserve">Vastgesteld dat de validatie niet onafhankelijk was.</w:t>
      </w:r>
    </w:p>
    <w:p>
      <w:pPr>
        <w:pStyle w:val="ListParagraph"/>
        <w:numPr>
          <w:ilvl w:val="0"/>
          <w:numId w:val="2"/>
        </w:numPr>
        <w:spacing w:after="70" w:line="280"/>
      </w:pPr>
      <w:r>
        <w:rPr>
          <w:rFonts w:ascii="Calibri" w:cs="Calibri" w:eastAsia="Calibri" w:hAnsi="Calibri"/>
          <w:color w:val="0E1A1C"/>
          <w:sz w:val="21"/>
          <w:szCs w:val="21"/>
        </w:rPr>
        <w:t xml:space="preserve">Drie vragen die de modeleigenaar niet met de documentatie kan beantwoorden.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documentatie beoordelen op volledigheid zonder naar de acceptatie te kijken.</w:t>
      </w:r>
    </w:p>
    <w:p>
      <w:pPr>
        <w:pStyle w:val="ListParagraph"/>
        <w:numPr>
          <w:ilvl w:val="0"/>
          <w:numId w:val="2"/>
        </w:numPr>
        <w:spacing w:after="70" w:line="280"/>
      </w:pPr>
      <w:r>
        <w:rPr>
          <w:rFonts w:ascii="Calibri" w:cs="Calibri" w:eastAsia="Calibri" w:hAnsi="Calibri"/>
          <w:color w:val="0E1A1C"/>
          <w:sz w:val="21"/>
          <w:szCs w:val="21"/>
        </w:rPr>
        <w:t xml:space="preserve">Prestatie per groep gelijkstellen aan een totaalscore.</w:t>
      </w:r>
    </w:p>
    <w:p>
      <w:pPr>
        <w:pStyle w:val="ListParagraph"/>
        <w:numPr>
          <w:ilvl w:val="0"/>
          <w:numId w:val="2"/>
        </w:numPr>
        <w:spacing w:after="70" w:line="280"/>
      </w:pPr>
      <w:r>
        <w:rPr>
          <w:rFonts w:ascii="Calibri" w:cs="Calibri" w:eastAsia="Calibri" w:hAnsi="Calibri"/>
          <w:color w:val="0E1A1C"/>
          <w:sz w:val="21"/>
          <w:szCs w:val="21"/>
        </w:rPr>
        <w:t xml:space="preserve">Vragen stellen die de kaart al beantwoordt.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heeft dit model geaccepteerd? En welke poort is daarmee gepasseerd?</w:t>
            </w:r>
          </w:p>
        </w:tc>
      </w:tr>
    </w:tbl>
    <w:p>
      <w:pPr>
        <w:pStyle w:val="Heading2"/>
        <w:spacing w:after="140" w:before="340"/>
      </w:pPr>
      <w:r>
        <w:rPr>
          <w:rFonts w:ascii="Cambria" w:cs="Cambria" w:eastAsia="Cambria" w:hAnsi="Cambria"/>
          <w:b/>
          <w:bCs/>
          <w:color w:val="0E1A1C"/>
          <w:sz w:val="26"/>
          <w:szCs w:val="26"/>
        </w:rPr>
        <w:t xml:space="preserve">Opdracht 3 — Risicoclassificatie en gates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Twaalf voorlopige classificaties met argumenten, en de twee betwistbare als twijfelgeval gemarkeerd.</w:t>
      </w:r>
    </w:p>
    <w:p>
      <w:pPr>
        <w:pStyle w:val="ListParagraph"/>
        <w:numPr>
          <w:ilvl w:val="0"/>
          <w:numId w:val="2"/>
        </w:numPr>
        <w:spacing w:after="70" w:line="280"/>
      </w:pPr>
      <w:r>
        <w:rPr>
          <w:rFonts w:ascii="Calibri" w:cs="Calibri" w:eastAsia="Calibri" w:hAnsi="Calibri"/>
          <w:color w:val="0E1A1C"/>
          <w:sz w:val="21"/>
          <w:szCs w:val="21"/>
        </w:rPr>
        <w:t xml:space="preserve">Een concrete vraag aan de jurist per twijfelgeval, niet "kun je hiernaar kijken".</w:t>
      </w:r>
    </w:p>
    <w:p>
      <w:pPr>
        <w:pStyle w:val="ListParagraph"/>
        <w:numPr>
          <w:ilvl w:val="0"/>
          <w:numId w:val="2"/>
        </w:numPr>
        <w:spacing w:after="70" w:line="280"/>
      </w:pPr>
      <w:r>
        <w:rPr>
          <w:rFonts w:ascii="Calibri" w:cs="Calibri" w:eastAsia="Calibri" w:hAnsi="Calibri"/>
          <w:color w:val="0E1A1C"/>
          <w:sz w:val="21"/>
          <w:szCs w:val="21"/>
        </w:rPr>
        <w:t xml:space="preserve">Per hoog-risicotoepassing de verplichtingen benoemd én wat de organisatie daarvan al doet — vaak meer dan gedacht, via deel 15 en 17.</w:t>
      </w:r>
    </w:p>
    <w:p>
      <w:pPr>
        <w:pStyle w:val="ListParagraph"/>
        <w:numPr>
          <w:ilvl w:val="0"/>
          <w:numId w:val="2"/>
        </w:numPr>
        <w:spacing w:after="70" w:line="280"/>
      </w:pPr>
      <w:r>
        <w:rPr>
          <w:rFonts w:ascii="Calibri" w:cs="Calibri" w:eastAsia="Calibri" w:hAnsi="Calibri"/>
          <w:color w:val="0E1A1C"/>
          <w:sz w:val="21"/>
          <w:szCs w:val="21"/>
        </w:rPr>
        <w:t xml:space="preserve">Drie poorten met wanneer, wat en wie.</w:t>
      </w:r>
    </w:p>
    <w:p>
      <w:pPr>
        <w:pStyle w:val="ListParagraph"/>
        <w:numPr>
          <w:ilvl w:val="0"/>
          <w:numId w:val="2"/>
        </w:numPr>
        <w:spacing w:after="70" w:line="280"/>
      </w:pPr>
      <w:r>
        <w:rPr>
          <w:rFonts w:ascii="Calibri" w:cs="Calibri" w:eastAsia="Calibri" w:hAnsi="Calibri"/>
          <w:color w:val="0E1A1C"/>
          <w:sz w:val="21"/>
          <w:szCs w:val="21"/>
        </w:rPr>
        <w:t xml:space="preserve">Een derde poort die zichzelf afdwingt via een agendapunt met eigenaar en een escalatie bij overschrijding.</w:t>
      </w:r>
    </w:p>
    <w:p>
      <w:pPr>
        <w:pStyle w:val="ListParagraph"/>
        <w:numPr>
          <w:ilvl w:val="0"/>
          <w:numId w:val="2"/>
        </w:numPr>
        <w:spacing w:after="70" w:line="280"/>
      </w:pPr>
      <w:r>
        <w:rPr>
          <w:rFonts w:ascii="Calibri" w:cs="Calibri" w:eastAsia="Calibri" w:hAnsi="Calibri"/>
          <w:color w:val="0E1A1C"/>
          <w:sz w:val="21"/>
          <w:szCs w:val="21"/>
        </w:rPr>
        <w:t xml:space="preserve">Een aanpak voor de negen bestaande toepassingen: niet allemaal tegelijk terugtrekken, maar prioriteren op risico.</w:t>
      </w:r>
    </w:p>
    <w:p>
      <w:pPr>
        <w:pStyle w:val="ListParagraph"/>
        <w:numPr>
          <w:ilvl w:val="0"/>
          <w:numId w:val="2"/>
        </w:numPr>
        <w:spacing w:after="70" w:line="280"/>
      </w:pPr>
      <w:r>
        <w:rPr>
          <w:rFonts w:ascii="Calibri" w:cs="Calibri" w:eastAsia="Calibri" w:hAnsi="Calibri"/>
          <w:color w:val="0E1A1C"/>
          <w:sz w:val="21"/>
          <w:szCs w:val="21"/>
        </w:rPr>
        <w:t xml:space="preserve">Inpassing in de bestaande besluitrechtenmatrix zonder nieuw gremium.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bij de jurist neerleggen. Vraag wat dat kost aan doorlooptijd.</w:t>
      </w:r>
    </w:p>
    <w:p>
      <w:pPr>
        <w:pStyle w:val="ListParagraph"/>
        <w:numPr>
          <w:ilvl w:val="0"/>
          <w:numId w:val="2"/>
        </w:numPr>
        <w:spacing w:after="70" w:line="280"/>
      </w:pPr>
      <w:r>
        <w:rPr>
          <w:rFonts w:ascii="Calibri" w:cs="Calibri" w:eastAsia="Calibri" w:hAnsi="Calibri"/>
          <w:color w:val="0E1A1C"/>
          <w:sz w:val="21"/>
          <w:szCs w:val="21"/>
        </w:rPr>
        <w:t xml:space="preserve">Een gate-proces met zes poorten. Meer poorten leveren vertraging op zonder extra beheersing.</w:t>
      </w:r>
    </w:p>
    <w:p>
      <w:pPr>
        <w:pStyle w:val="ListParagraph"/>
        <w:numPr>
          <w:ilvl w:val="0"/>
          <w:numId w:val="2"/>
        </w:numPr>
        <w:spacing w:after="70" w:line="280"/>
      </w:pPr>
      <w:r>
        <w:rPr>
          <w:rFonts w:ascii="Calibri" w:cs="Calibri" w:eastAsia="Calibri" w:hAnsi="Calibri"/>
          <w:color w:val="0E1A1C"/>
          <w:sz w:val="21"/>
          <w:szCs w:val="21"/>
        </w:rPr>
        <w:t xml:space="preserve">De derde poort ontwerpen zonder eigenaar; dan verdwijnt hij na een jaar.</w:t>
      </w:r>
    </w:p>
    <w:p>
      <w:pPr>
        <w:pStyle w:val="ListParagraph"/>
        <w:numPr>
          <w:ilvl w:val="0"/>
          <w:numId w:val="2"/>
        </w:numPr>
        <w:spacing w:after="70" w:line="280"/>
      </w:pPr>
      <w:r>
        <w:rPr>
          <w:rFonts w:ascii="Calibri" w:cs="Calibri" w:eastAsia="Calibri" w:hAnsi="Calibri"/>
          <w:color w:val="0E1A1C"/>
          <w:sz w:val="21"/>
          <w:szCs w:val="21"/>
        </w:rPr>
        <w:t xml:space="preserve">De negen bestaande toepassingen per direct stopzetten; dat is niet uitvoerbaar en het is niet nodig.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zet poort 3 volgend jaar op de agenda? En wat gebeurt er als hij dat vergeet?</w:t>
            </w:r>
          </w:p>
        </w:tc>
      </w:tr>
    </w:tbl>
    <w:p>
      <w:pPr>
        <w:pStyle w:val="Heading2"/>
        <w:spacing w:after="140" w:before="340"/>
      </w:pPr>
      <w:r>
        <w:rPr>
          <w:rFonts w:ascii="Cambria" w:cs="Cambria" w:eastAsia="Cambria" w:hAnsi="Cambria"/>
          <w:b/>
          <w:bCs/>
          <w:color w:val="0E1A1C"/>
          <w:sz w:val="26"/>
          <w:szCs w:val="26"/>
        </w:rPr>
        <w:t xml:space="preserve">Opdracht 4 — Bias meetbaar maken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Relevante groepen benoemd, inclusief die waarop niet mag worden gemodelleerd.</w:t>
      </w:r>
    </w:p>
    <w:p>
      <w:pPr>
        <w:pStyle w:val="ListParagraph"/>
        <w:numPr>
          <w:ilvl w:val="0"/>
          <w:numId w:val="2"/>
        </w:numPr>
        <w:spacing w:after="70" w:line="280"/>
      </w:pPr>
      <w:r>
        <w:rPr>
          <w:rFonts w:ascii="Calibri" w:cs="Calibri" w:eastAsia="Calibri" w:hAnsi="Calibri"/>
          <w:color w:val="0E1A1C"/>
          <w:sz w:val="21"/>
          <w:szCs w:val="21"/>
        </w:rPr>
        <w:t xml:space="preserve">Een zorgvuldig belegde meting op die groepen, gescheiden van het model zelf.</w:t>
      </w:r>
    </w:p>
    <w:p>
      <w:pPr>
        <w:pStyle w:val="ListParagraph"/>
        <w:numPr>
          <w:ilvl w:val="0"/>
          <w:numId w:val="2"/>
        </w:numPr>
        <w:spacing w:after="70" w:line="280"/>
      </w:pPr>
      <w:r>
        <w:rPr>
          <w:rFonts w:ascii="Calibri" w:cs="Calibri" w:eastAsia="Calibri" w:hAnsi="Calibri"/>
          <w:color w:val="0E1A1C"/>
          <w:sz w:val="21"/>
          <w:szCs w:val="21"/>
        </w:rPr>
        <w:t xml:space="preserve">Drie maten berekend of beredeneerd, met de vaststelling dat ze niet samengaan.</w:t>
      </w:r>
    </w:p>
    <w:p>
      <w:pPr>
        <w:pStyle w:val="ListParagraph"/>
        <w:numPr>
          <w:ilvl w:val="0"/>
          <w:numId w:val="2"/>
        </w:numPr>
        <w:spacing w:after="70" w:line="280"/>
      </w:pPr>
      <w:r>
        <w:rPr>
          <w:rFonts w:ascii="Calibri" w:cs="Calibri" w:eastAsia="Calibri" w:hAnsi="Calibri"/>
          <w:color w:val="0E1A1C"/>
          <w:sz w:val="21"/>
          <w:szCs w:val="21"/>
        </w:rPr>
        <w:t xml:space="preserve">De afruil concreet benoemd: welke groep wordt bevoordeeld bij welke keuze.</w:t>
      </w:r>
    </w:p>
    <w:p>
      <w:pPr>
        <w:pStyle w:val="ListParagraph"/>
        <w:numPr>
          <w:ilvl w:val="0"/>
          <w:numId w:val="2"/>
        </w:numPr>
        <w:spacing w:after="70" w:line="280"/>
      </w:pPr>
      <w:r>
        <w:rPr>
          <w:rFonts w:ascii="Calibri" w:cs="Calibri" w:eastAsia="Calibri" w:hAnsi="Calibri"/>
          <w:color w:val="0E1A1C"/>
          <w:sz w:val="21"/>
          <w:szCs w:val="21"/>
        </w:rPr>
        <w:t xml:space="preserve">Een geadviseerde maat met argument, en de keuze belegd bij de verantwoordelijke.</w:t>
      </w:r>
    </w:p>
    <w:p>
      <w:pPr>
        <w:pStyle w:val="ListParagraph"/>
        <w:numPr>
          <w:ilvl w:val="0"/>
          <w:numId w:val="2"/>
        </w:numPr>
        <w:spacing w:after="70" w:line="280"/>
      </w:pPr>
      <w:r>
        <w:rPr>
          <w:rFonts w:ascii="Calibri" w:cs="Calibri" w:eastAsia="Calibri" w:hAnsi="Calibri"/>
          <w:color w:val="0E1A1C"/>
          <w:sz w:val="21"/>
          <w:szCs w:val="21"/>
        </w:rPr>
        <w:t xml:space="preserve">Postcode herkend als proxy, met een analyse van wat er gebeurt bij weglaten — meestal weinig, want het effect zit ook in andere kenmerken.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maat kiezen en de andere negeren.</w:t>
      </w:r>
    </w:p>
    <w:p>
      <w:pPr>
        <w:pStyle w:val="ListParagraph"/>
        <w:numPr>
          <w:ilvl w:val="0"/>
          <w:numId w:val="2"/>
        </w:numPr>
        <w:spacing w:after="70" w:line="280"/>
      </w:pPr>
      <w:r>
        <w:rPr>
          <w:rFonts w:ascii="Calibri" w:cs="Calibri" w:eastAsia="Calibri" w:hAnsi="Calibri"/>
          <w:color w:val="0E1A1C"/>
          <w:sz w:val="21"/>
          <w:szCs w:val="21"/>
        </w:rPr>
        <w:t xml:space="preserve">De onverenigbaarheid presenteren als een probleem dat moet worden opgelost.</w:t>
      </w:r>
    </w:p>
    <w:p>
      <w:pPr>
        <w:pStyle w:val="ListParagraph"/>
        <w:numPr>
          <w:ilvl w:val="0"/>
          <w:numId w:val="2"/>
        </w:numPr>
        <w:spacing w:after="70" w:line="280"/>
      </w:pPr>
      <w:r>
        <w:rPr>
          <w:rFonts w:ascii="Calibri" w:cs="Calibri" w:eastAsia="Calibri" w:hAnsi="Calibri"/>
          <w:color w:val="0E1A1C"/>
          <w:sz w:val="21"/>
          <w:szCs w:val="21"/>
        </w:rPr>
        <w:t xml:space="preserve">De keuze bij de ontwikkelaar laten. Het is een normatieve keuze.</w:t>
      </w:r>
    </w:p>
    <w:p>
      <w:pPr>
        <w:pStyle w:val="ListParagraph"/>
        <w:numPr>
          <w:ilvl w:val="0"/>
          <w:numId w:val="2"/>
        </w:numPr>
        <w:spacing w:after="70" w:line="280"/>
      </w:pPr>
      <w:r>
        <w:rPr>
          <w:rFonts w:ascii="Calibri" w:cs="Calibri" w:eastAsia="Calibri" w:hAnsi="Calibri"/>
          <w:color w:val="0E1A1C"/>
          <w:sz w:val="21"/>
          <w:szCs w:val="21"/>
        </w:rPr>
        <w:t xml:space="preserve">Concluderen dat weglaten van de proxy het probleem oplost.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groep is beter af bij jouw gekozen maat, en welke slechter? Weet de verantwoordelijke dat?</w:t>
            </w:r>
          </w:p>
        </w:tc>
      </w:tr>
    </w:tbl>
    <w:p>
      <w:pPr>
        <w:pStyle w:val="Heading2"/>
        <w:spacing w:after="140" w:before="340"/>
      </w:pPr>
      <w:r>
        <w:rPr>
          <w:rFonts w:ascii="Cambria" w:cs="Cambria" w:eastAsia="Cambria" w:hAnsi="Cambria"/>
          <w:b/>
          <w:bCs/>
          <w:color w:val="0E1A1C"/>
          <w:sz w:val="26"/>
          <w:szCs w:val="26"/>
        </w:rPr>
        <w:t xml:space="preserve">Opdracht 5 — Driftrapport analyseren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Datadrift vanaf maand zes herkend.</w:t>
      </w:r>
    </w:p>
    <w:p>
      <w:pPr>
        <w:pStyle w:val="ListParagraph"/>
        <w:numPr>
          <w:ilvl w:val="0"/>
          <w:numId w:val="2"/>
        </w:numPr>
        <w:spacing w:after="70" w:line="280"/>
      </w:pPr>
      <w:r>
        <w:rPr>
          <w:rFonts w:ascii="Calibri" w:cs="Calibri" w:eastAsia="Calibri" w:hAnsi="Calibri"/>
          <w:color w:val="0E1A1C"/>
          <w:sz w:val="21"/>
          <w:szCs w:val="21"/>
        </w:rPr>
        <w:t xml:space="preserve">Vastgesteld dat de vlakke prestatiescore komt doordat terugkoppeling ontbreekt — er wordt niets gemeten, dus er daalt niets.</w:t>
      </w:r>
    </w:p>
    <w:p>
      <w:pPr>
        <w:pStyle w:val="ListParagraph"/>
        <w:numPr>
          <w:ilvl w:val="0"/>
          <w:numId w:val="2"/>
        </w:numPr>
        <w:spacing w:after="70" w:line="280"/>
      </w:pPr>
      <w:r>
        <w:rPr>
          <w:rFonts w:ascii="Calibri" w:cs="Calibri" w:eastAsia="Calibri" w:hAnsi="Calibri"/>
          <w:color w:val="0E1A1C"/>
          <w:sz w:val="21"/>
          <w:szCs w:val="21"/>
        </w:rPr>
        <w:t xml:space="preserve">Het stijgende afwijkpercentage gevonden en herkend als vroegste signaal.</w:t>
      </w:r>
    </w:p>
    <w:p>
      <w:pPr>
        <w:pStyle w:val="ListParagraph"/>
        <w:numPr>
          <w:ilvl w:val="0"/>
          <w:numId w:val="2"/>
        </w:numPr>
        <w:spacing w:after="70" w:line="280"/>
      </w:pPr>
      <w:r>
        <w:rPr>
          <w:rFonts w:ascii="Calibri" w:cs="Calibri" w:eastAsia="Calibri" w:hAnsi="Calibri"/>
          <w:color w:val="0E1A1C"/>
          <w:sz w:val="21"/>
          <w:szCs w:val="21"/>
        </w:rPr>
        <w:t xml:space="preserve">Prestatie per groep vergeleken met het totaal.</w:t>
      </w:r>
    </w:p>
    <w:p>
      <w:pPr>
        <w:pStyle w:val="ListParagraph"/>
        <w:numPr>
          <w:ilvl w:val="0"/>
          <w:numId w:val="2"/>
        </w:numPr>
        <w:spacing w:after="70" w:line="280"/>
      </w:pPr>
      <w:r>
        <w:rPr>
          <w:rFonts w:ascii="Calibri" w:cs="Calibri" w:eastAsia="Calibri" w:hAnsi="Calibri"/>
          <w:color w:val="0E1A1C"/>
          <w:sz w:val="21"/>
          <w:szCs w:val="21"/>
        </w:rPr>
        <w:t xml:space="preserve">Een interventievoorstel dat past bij de diagnose: eerst de terugkoppellus regelen, dan pas over hertrainen beslissen.</w:t>
      </w:r>
    </w:p>
    <w:p>
      <w:pPr>
        <w:pStyle w:val="ListParagraph"/>
        <w:numPr>
          <w:ilvl w:val="0"/>
          <w:numId w:val="2"/>
        </w:numPr>
        <w:spacing w:after="70" w:line="280"/>
      </w:pPr>
      <w:r>
        <w:rPr>
          <w:rFonts w:ascii="Calibri" w:cs="Calibri" w:eastAsia="Calibri" w:hAnsi="Calibri"/>
          <w:color w:val="0E1A1C"/>
          <w:sz w:val="21"/>
          <w:szCs w:val="21"/>
        </w:rPr>
        <w:t xml:space="preserve">Een melding aan de modeleigenaar die de urgentie benoemt zonder te alarmeren.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Concluderen dat het model goed presteert omdat de score vlak is. Er wordt niets gemeten.</w:t>
      </w:r>
    </w:p>
    <w:p>
      <w:pPr>
        <w:pStyle w:val="ListParagraph"/>
        <w:numPr>
          <w:ilvl w:val="0"/>
          <w:numId w:val="2"/>
        </w:numPr>
        <w:spacing w:after="70" w:line="280"/>
      </w:pPr>
      <w:r>
        <w:rPr>
          <w:rFonts w:ascii="Calibri" w:cs="Calibri" w:eastAsia="Calibri" w:hAnsi="Calibri"/>
          <w:color w:val="0E1A1C"/>
          <w:sz w:val="21"/>
          <w:szCs w:val="21"/>
        </w:rPr>
        <w:t xml:space="preserve">Het afwijkpercentage over het hoofd zien; dat is de vondst.</w:t>
      </w:r>
    </w:p>
    <w:p>
      <w:pPr>
        <w:pStyle w:val="ListParagraph"/>
        <w:numPr>
          <w:ilvl w:val="0"/>
          <w:numId w:val="2"/>
        </w:numPr>
        <w:spacing w:after="70" w:line="280"/>
      </w:pPr>
      <w:r>
        <w:rPr>
          <w:rFonts w:ascii="Calibri" w:cs="Calibri" w:eastAsia="Calibri" w:hAnsi="Calibri"/>
          <w:color w:val="0E1A1C"/>
          <w:sz w:val="21"/>
          <w:szCs w:val="21"/>
        </w:rPr>
        <w:t xml:space="preserve">Meteen hertrainen voorstellen zonder de terugkoppeling te regelen — dan meet je na de hertraining opnieuw niets.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De prestatiescore is achttien maanden vlak. Is dat goed nieuws?</w:t>
            </w:r>
          </w:p>
        </w:tc>
      </w:tr>
    </w:tbl>
    <w:p>
      <w:pPr>
        <w:pStyle w:val="Heading2"/>
        <w:spacing w:after="140" w:before="340"/>
      </w:pPr>
      <w:r>
        <w:rPr>
          <w:rFonts w:ascii="Cambria" w:cs="Cambria" w:eastAsia="Cambria" w:hAnsi="Cambria"/>
          <w:b/>
          <w:bCs/>
          <w:color w:val="0E1A1C"/>
          <w:sz w:val="26"/>
          <w:szCs w:val="26"/>
        </w:rPr>
        <w:t xml:space="preserve">Opdracht 6 — RAG-architectuur beoordelen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weg van een vraag gevolgd en vastgesteld waar autorisatie wordt toegepast.</w:t>
      </w:r>
    </w:p>
    <w:p>
      <w:pPr>
        <w:pStyle w:val="ListParagraph"/>
        <w:numPr>
          <w:ilvl w:val="0"/>
          <w:numId w:val="2"/>
        </w:numPr>
        <w:spacing w:after="70" w:line="280"/>
      </w:pPr>
      <w:r>
        <w:rPr>
          <w:rFonts w:ascii="Calibri" w:cs="Calibri" w:eastAsia="Calibri" w:hAnsi="Calibri"/>
          <w:color w:val="0E1A1C"/>
          <w:sz w:val="21"/>
          <w:szCs w:val="21"/>
        </w:rPr>
        <w:t xml:space="preserve">Het toegangslek gevonden: de zoeklaag legt een eigen kopie aan zonder de autorisatie over te nemen.</w:t>
      </w:r>
    </w:p>
    <w:p>
      <w:pPr>
        <w:pStyle w:val="ListParagraph"/>
        <w:numPr>
          <w:ilvl w:val="0"/>
          <w:numId w:val="2"/>
        </w:numPr>
        <w:spacing w:after="70" w:line="280"/>
      </w:pPr>
      <w:r>
        <w:rPr>
          <w:rFonts w:ascii="Calibri" w:cs="Calibri" w:eastAsia="Calibri" w:hAnsi="Calibri"/>
          <w:color w:val="0E1A1C"/>
          <w:sz w:val="21"/>
          <w:szCs w:val="21"/>
        </w:rPr>
        <w:t xml:space="preserve">Het aggregatierisico herkend: losse fragmenten onschuldig, samen herleidbaar.</w:t>
      </w:r>
    </w:p>
    <w:p>
      <w:pPr>
        <w:pStyle w:val="ListParagraph"/>
        <w:numPr>
          <w:ilvl w:val="0"/>
          <w:numId w:val="2"/>
        </w:numPr>
        <w:spacing w:after="70" w:line="280"/>
      </w:pPr>
      <w:r>
        <w:rPr>
          <w:rFonts w:ascii="Calibri" w:cs="Calibri" w:eastAsia="Calibri" w:hAnsi="Calibri"/>
          <w:color w:val="0E1A1C"/>
          <w:sz w:val="21"/>
          <w:szCs w:val="21"/>
        </w:rPr>
        <w:t xml:space="preserve">De retentieafspraak beoordeeld op toetsbaarheid, niet alleen op aanwezigheid.</w:t>
      </w:r>
    </w:p>
    <w:p>
      <w:pPr>
        <w:pStyle w:val="ListParagraph"/>
        <w:numPr>
          <w:ilvl w:val="0"/>
          <w:numId w:val="2"/>
        </w:numPr>
        <w:spacing w:after="70" w:line="280"/>
      </w:pPr>
      <w:r>
        <w:rPr>
          <w:rFonts w:ascii="Calibri" w:cs="Calibri" w:eastAsia="Calibri" w:hAnsi="Calibri"/>
          <w:color w:val="0E1A1C"/>
          <w:sz w:val="21"/>
          <w:szCs w:val="21"/>
        </w:rPr>
        <w:t xml:space="preserve">Maatregelen met een uitvoerder per stuk.</w:t>
      </w:r>
    </w:p>
    <w:p>
      <w:pPr>
        <w:pStyle w:val="ListParagraph"/>
        <w:numPr>
          <w:ilvl w:val="0"/>
          <w:numId w:val="2"/>
        </w:numPr>
        <w:spacing w:after="70" w:line="280"/>
      </w:pPr>
      <w:r>
        <w:rPr>
          <w:rFonts w:ascii="Calibri" w:cs="Calibri" w:eastAsia="Calibri" w:hAnsi="Calibri"/>
          <w:color w:val="0E1A1C"/>
          <w:sz w:val="21"/>
          <w:szCs w:val="21"/>
        </w:rPr>
        <w:t xml:space="preserve">Vastgesteld dat deze toepassing poort 1 had moeten passeren en dat niet deed.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naar verzonnen antwoorden kijken; dat is het bekendste en niet het ernstigste risico.</w:t>
      </w:r>
    </w:p>
    <w:p>
      <w:pPr>
        <w:pStyle w:val="ListParagraph"/>
        <w:numPr>
          <w:ilvl w:val="0"/>
          <w:numId w:val="2"/>
        </w:numPr>
        <w:spacing w:after="70" w:line="280"/>
      </w:pPr>
      <w:r>
        <w:rPr>
          <w:rFonts w:ascii="Calibri" w:cs="Calibri" w:eastAsia="Calibri" w:hAnsi="Calibri"/>
          <w:color w:val="0E1A1C"/>
          <w:sz w:val="21"/>
          <w:szCs w:val="21"/>
        </w:rPr>
        <w:t xml:space="preserve">De autorisatie op de bron als afdoende beschouwen.</w:t>
      </w:r>
    </w:p>
    <w:p>
      <w:pPr>
        <w:pStyle w:val="ListParagraph"/>
        <w:numPr>
          <w:ilvl w:val="0"/>
          <w:numId w:val="2"/>
        </w:numPr>
        <w:spacing w:after="70" w:line="280"/>
      </w:pPr>
      <w:r>
        <w:rPr>
          <w:rFonts w:ascii="Calibri" w:cs="Calibri" w:eastAsia="Calibri" w:hAnsi="Calibri"/>
          <w:color w:val="0E1A1C"/>
          <w:sz w:val="21"/>
          <w:szCs w:val="21"/>
        </w:rPr>
        <w:t xml:space="preserve">Promptlek willen oplossen met een verbod. Dat werkt niet.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kan met deze opstelling iets lezen waar hij geen recht op heeft? Volg de vraag door de plaat.</w:t>
            </w:r>
          </w:p>
        </w:tc>
      </w:tr>
    </w:tbl>
    <w:p>
      <w:pPr>
        <w:pStyle w:val="Heading2"/>
        <w:spacing w:after="140" w:before="340"/>
      </w:pPr>
      <w:r>
        <w:rPr>
          <w:rFonts w:ascii="Cambria" w:cs="Cambria" w:eastAsia="Cambria" w:hAnsi="Cambria"/>
          <w:b/>
          <w:bCs/>
          <w:color w:val="0E1A1C"/>
          <w:sz w:val="26"/>
          <w:szCs w:val="26"/>
        </w:rPr>
        <w:t xml:space="preserve">Opdracht 7 — Advies aan de board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Maximaal drie pagina’s, met de stand van zaken in de eerste alinea.</w:t>
      </w:r>
    </w:p>
    <w:p>
      <w:pPr>
        <w:pStyle w:val="ListParagraph"/>
        <w:numPr>
          <w:ilvl w:val="0"/>
          <w:numId w:val="2"/>
        </w:numPr>
        <w:spacing w:after="70" w:line="280"/>
      </w:pPr>
      <w:r>
        <w:rPr>
          <w:rFonts w:ascii="Calibri" w:cs="Calibri" w:eastAsia="Calibri" w:hAnsi="Calibri"/>
          <w:color w:val="0E1A1C"/>
          <w:sz w:val="21"/>
          <w:szCs w:val="21"/>
        </w:rPr>
        <w:t xml:space="preserve">De toepassingen die per direct aandacht vragen, met de reden en niet met de categorie.</w:t>
      </w:r>
    </w:p>
    <w:p>
      <w:pPr>
        <w:pStyle w:val="ListParagraph"/>
        <w:numPr>
          <w:ilvl w:val="0"/>
          <w:numId w:val="2"/>
        </w:numPr>
        <w:spacing w:after="70" w:line="280"/>
      </w:pPr>
      <w:r>
        <w:rPr>
          <w:rFonts w:ascii="Calibri" w:cs="Calibri" w:eastAsia="Calibri" w:hAnsi="Calibri"/>
          <w:color w:val="0E1A1C"/>
          <w:sz w:val="21"/>
          <w:szCs w:val="21"/>
        </w:rPr>
        <w:t xml:space="preserve">Een gate-proces dat aantoonbaar binnen de bestaande matrix past.</w:t>
      </w:r>
    </w:p>
    <w:p>
      <w:pPr>
        <w:pStyle w:val="ListParagraph"/>
        <w:numPr>
          <w:ilvl w:val="0"/>
          <w:numId w:val="2"/>
        </w:numPr>
        <w:spacing w:after="70" w:line="280"/>
      </w:pPr>
      <w:r>
        <w:rPr>
          <w:rFonts w:ascii="Calibri" w:cs="Calibri" w:eastAsia="Calibri" w:hAnsi="Calibri"/>
          <w:color w:val="0E1A1C"/>
          <w:sz w:val="21"/>
          <w:szCs w:val="21"/>
        </w:rPr>
        <w:t xml:space="preserve">Een validatiefunctie met capaciteit erbij — zonder uren is het een naam.</w:t>
      </w:r>
    </w:p>
    <w:p>
      <w:pPr>
        <w:pStyle w:val="ListParagraph"/>
        <w:numPr>
          <w:ilvl w:val="0"/>
          <w:numId w:val="2"/>
        </w:numPr>
        <w:spacing w:after="70" w:line="280"/>
      </w:pPr>
      <w:r>
        <w:rPr>
          <w:rFonts w:ascii="Calibri" w:cs="Calibri" w:eastAsia="Calibri" w:hAnsi="Calibri"/>
          <w:color w:val="0E1A1C"/>
          <w:sz w:val="21"/>
          <w:szCs w:val="21"/>
        </w:rPr>
        <w:t xml:space="preserve">Het reputationele vraagstuk als afweging voorgelegd.</w:t>
      </w:r>
    </w:p>
    <w:p>
      <w:pPr>
        <w:pStyle w:val="ListParagraph"/>
        <w:numPr>
          <w:ilvl w:val="0"/>
          <w:numId w:val="2"/>
        </w:numPr>
        <w:spacing w:after="70" w:line="280"/>
      </w:pPr>
      <w:r>
        <w:rPr>
          <w:rFonts w:ascii="Calibri" w:cs="Calibri" w:eastAsia="Calibri" w:hAnsi="Calibri"/>
          <w:color w:val="0E1A1C"/>
          <w:sz w:val="21"/>
          <w:szCs w:val="21"/>
        </w:rPr>
        <w:t xml:space="preserve">Een gevraagd besluit met neescenario.</w:t>
      </w:r>
    </w:p>
    <w:p>
      <w:pPr>
        <w:pStyle w:val="ListParagraph"/>
        <w:numPr>
          <w:ilvl w:val="0"/>
          <w:numId w:val="2"/>
        </w:numPr>
        <w:spacing w:after="70" w:line="280"/>
      </w:pPr>
      <w:r>
        <w:rPr>
          <w:rFonts w:ascii="Calibri" w:cs="Calibri" w:eastAsia="Calibri" w:hAnsi="Calibri"/>
          <w:color w:val="0E1A1C"/>
          <w:sz w:val="21"/>
          <w:szCs w:val="21"/>
        </w:rPr>
        <w:t xml:space="preserve">Een eerlijke beoordeling van de eigen meegebrachte toepassing, inclusief wat er ontbreekt.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AI-board voorstellen. Vraag welke vragen die board beantwoordt die het bestaande gremium niet aankan.</w:t>
      </w:r>
    </w:p>
    <w:p>
      <w:pPr>
        <w:pStyle w:val="ListParagraph"/>
        <w:numPr>
          <w:ilvl w:val="0"/>
          <w:numId w:val="2"/>
        </w:numPr>
        <w:spacing w:after="70" w:line="280"/>
      </w:pPr>
      <w:r>
        <w:rPr>
          <w:rFonts w:ascii="Calibri" w:cs="Calibri" w:eastAsia="Calibri" w:hAnsi="Calibri"/>
          <w:color w:val="0E1A1C"/>
          <w:sz w:val="21"/>
          <w:szCs w:val="21"/>
        </w:rPr>
        <w:t xml:space="preserve">De validatiefunctie beleggen zonder capaciteit.</w:t>
      </w:r>
    </w:p>
    <w:p>
      <w:pPr>
        <w:pStyle w:val="ListParagraph"/>
        <w:numPr>
          <w:ilvl w:val="0"/>
          <w:numId w:val="2"/>
        </w:numPr>
        <w:spacing w:after="70" w:line="280"/>
      </w:pPr>
      <w:r>
        <w:rPr>
          <w:rFonts w:ascii="Calibri" w:cs="Calibri" w:eastAsia="Calibri" w:hAnsi="Calibri"/>
          <w:color w:val="0E1A1C"/>
          <w:sz w:val="21"/>
          <w:szCs w:val="21"/>
        </w:rPr>
        <w:t xml:space="preserve">Het advies afsluiten met een roadmap in plaats van een gevraagd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twee vragen kan het bestaande gremium níét beantwoorden? Alleen daarvoor heb je iets nieuws nodig.</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 begint AI-governance in de praktijk?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het vinden van de toepassingen die onder de radar zijn ontstaan.</w:t>
      </w:r>
    </w:p>
    <w:p>
      <w:pPr>
        <w:spacing w:after="40" w:line="275"/>
        <w:ind w:left="420"/>
      </w:pPr>
      <w:r>
        <w:rPr>
          <w:rFonts w:ascii="Calibri" w:cs="Calibri" w:eastAsia="Calibri" w:hAnsi="Calibri"/>
          <w:color w:val="5F7375"/>
          <w:sz w:val="19"/>
          <w:szCs w:val="19"/>
        </w:rPr>
        <w:t xml:space="preserve">Bij Meridiaan en Nautilus bleken negen van de twaalf toepassingen niet als AI aangemerkt.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Welke fase van de modellevensloop blijft het vaakst onbeheerd?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D — Uitfaseren</w:t>
      </w:r>
    </w:p>
    <w:p>
      <w:pPr>
        <w:spacing w:after="40" w:line="275"/>
        <w:ind w:left="420"/>
      </w:pPr>
      <w:r>
        <w:rPr>
          <w:rFonts w:ascii="Calibri" w:cs="Calibri" w:eastAsia="Calibri" w:hAnsi="Calibri"/>
          <w:color w:val="5F7375"/>
          <w:sz w:val="19"/>
          <w:szCs w:val="19"/>
        </w:rPr>
        <w:t xml:space="preserve">Modellen blijven draaien tot iemand toevallig merkt dat de uitkomsten niet meer kloppen. Leg de uitfaseringsvoorwaarde bij acceptatie vast.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Hoe toets je of een model aanbeveelt of beslist?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Empirisch: meet hoe vaak de mens ervan afwijkt.</w:t>
      </w:r>
    </w:p>
    <w:p>
      <w:pPr>
        <w:spacing w:after="40" w:line="275"/>
        <w:ind w:left="420"/>
      </w:pPr>
      <w:r>
        <w:rPr>
          <w:rFonts w:ascii="Calibri" w:cs="Calibri" w:eastAsia="Calibri" w:hAnsi="Calibri"/>
          <w:color w:val="5F7375"/>
          <w:sz w:val="19"/>
          <w:szCs w:val="19"/>
        </w:rPr>
        <w:t xml:space="preserve">Een aanbeveling die in 99% van de gevallen wordt overgenomen, is feitelijk een besluit.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is de praktische route bij risicoclassificatie?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Zelf voorlopig indelen met argumenten, juridische toets op de twijfelgevallen, besluit door de verantwoordelijke.</w:t>
      </w:r>
    </w:p>
    <w:p>
      <w:pPr>
        <w:spacing w:after="40" w:line="275"/>
        <w:ind w:left="420"/>
      </w:pPr>
      <w:r>
        <w:rPr>
          <w:rFonts w:ascii="Calibri" w:cs="Calibri" w:eastAsia="Calibri" w:hAnsi="Calibri"/>
          <w:color w:val="5F7375"/>
          <w:sz w:val="19"/>
          <w:szCs w:val="19"/>
        </w:rPr>
        <w:t xml:space="preserve">Wie de eerste stap overslaat krijgt maanden vertraging; wie de tweede overslaat krijgt een indeling die niet standhoudt.</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Waarom kun je de fairnessmaten niet allemaal tegelijk halen?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een wiskundig gevolg van het feit dat de groepen verschillen.</w:t>
      </w:r>
    </w:p>
    <w:p>
      <w:pPr>
        <w:spacing w:after="40" w:line="275"/>
        <w:ind w:left="420"/>
      </w:pPr>
      <w:r>
        <w:rPr>
          <w:rFonts w:ascii="Calibri" w:cs="Calibri" w:eastAsia="Calibri" w:hAnsi="Calibri"/>
          <w:color w:val="5F7375"/>
          <w:sz w:val="19"/>
          <w:szCs w:val="19"/>
        </w:rPr>
        <w:t xml:space="preserve">De keuze welke maat je hanteert is daarom normatief, en hoort bij de verantwoordelijke — niet bij de ontwikkelaar.</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Waarom meet je ook op kenmerken waarop je niet mag modelleren?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 te weten of het model er systematisch anders op uitpakt — dat vraagt een aparte, zorgvuldig belegde meting.</w:t>
      </w:r>
    </w:p>
    <w:p>
      <w:pPr>
        <w:spacing w:after="40" w:line="275"/>
        <w:ind w:left="420"/>
      </w:pPr>
      <w:r>
        <w:rPr>
          <w:rFonts w:ascii="Calibri" w:cs="Calibri" w:eastAsia="Calibri" w:hAnsi="Calibri"/>
          <w:color w:val="5F7375"/>
          <w:sz w:val="19"/>
          <w:szCs w:val="19"/>
        </w:rPr>
        <w:t xml:space="preserve">Niet gebruiken als kenmerk is iets anders dan niet weten wat het effect is.</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heeft een betrokkene nodig bij uitlegbaarheid?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begrijpelijke reden die klopt, plus een route naar bezwaar.</w:t>
      </w:r>
    </w:p>
    <w:p>
      <w:pPr>
        <w:spacing w:after="40" w:line="275"/>
        <w:ind w:left="420"/>
      </w:pPr>
      <w:r>
        <w:rPr>
          <w:rFonts w:ascii="Calibri" w:cs="Calibri" w:eastAsia="Calibri" w:hAnsi="Calibri"/>
          <w:color w:val="5F7375"/>
          <w:sz w:val="19"/>
          <w:szCs w:val="19"/>
        </w:rPr>
        <w:t xml:space="preserve">Is die reden niet te geven, dan is dat een aanwijzing dat het model hier niet passend is — niet dat de uitleg beter moet.</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Welke drift kun je zien zonder terugkoppeling van werkelijke uitkomsten?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Datadrift</w:t>
      </w:r>
    </w:p>
    <w:p>
      <w:pPr>
        <w:spacing w:after="40" w:line="275"/>
        <w:ind w:left="420"/>
      </w:pPr>
      <w:r>
        <w:rPr>
          <w:rFonts w:ascii="Calibri" w:cs="Calibri" w:eastAsia="Calibri" w:hAnsi="Calibri"/>
          <w:color w:val="5F7375"/>
          <w:sz w:val="19"/>
          <w:szCs w:val="19"/>
        </w:rPr>
        <w:t xml:space="preserve">En datadrift is het zwakste signaal. Regel de terugkoppellus bij het ontwerp, niet bij het eerste incident.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het vroegste signaal dat een model niet meer klopt?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aandeel gevallen waarin de mens van het model afwijkt, stijgt.</w:t>
      </w:r>
    </w:p>
    <w:p>
      <w:pPr>
        <w:spacing w:after="40" w:line="275"/>
        <w:ind w:left="420"/>
      </w:pPr>
      <w:r>
        <w:rPr>
          <w:rFonts w:ascii="Calibri" w:cs="Calibri" w:eastAsia="Calibri" w:hAnsi="Calibri"/>
          <w:color w:val="5F7375"/>
          <w:sz w:val="19"/>
          <w:szCs w:val="19"/>
        </w:rPr>
        <w:t xml:space="preserve">Medewerkers merken het vóór het dashboard, en dit staat zelden in de standaardrapportage.</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het meest onderschatte risico in een RAG-opstelling?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Toegangslek via de zoeklaag: autorisatie alleen op de bron geregeld.</w:t>
      </w:r>
    </w:p>
    <w:p>
      <w:pPr>
        <w:spacing w:after="40" w:line="275"/>
        <w:ind w:left="420"/>
      </w:pPr>
      <w:r>
        <w:rPr>
          <w:rFonts w:ascii="Calibri" w:cs="Calibri" w:eastAsia="Calibri" w:hAnsi="Calibri"/>
          <w:color w:val="5F7375"/>
          <w:sz w:val="19"/>
          <w:szCs w:val="19"/>
        </w:rPr>
        <w:t xml:space="preserve">Zodra de zoeklaag een eigen kopie aanlegt, leest iedereen alles — met een vriendelijke interface eromheen.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Welke poort in een gate-proces dwingt zichzelf niet af?</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Poort 3 — blijft dit deugen</w:t>
      </w:r>
    </w:p>
    <w:p>
      <w:pPr>
        <w:spacing w:after="40" w:line="275"/>
        <w:ind w:left="420"/>
      </w:pPr>
      <w:r>
        <w:rPr>
          <w:rFonts w:ascii="Calibri" w:cs="Calibri" w:eastAsia="Calibri" w:hAnsi="Calibri"/>
          <w:color w:val="5F7375"/>
          <w:sz w:val="19"/>
          <w:szCs w:val="19"/>
        </w:rPr>
        <w:t xml:space="preserve">De eerste twee liggen in het pad naar productie, de derde niet. Zonder agendapunt met eigenaar verdwijnt hij na het eerste jaar.</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Waarom tuig je geen aparte AI-governancestructuur op?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Drie van de vijf governancevragen horen bij bestaande gremia; je verdubbelt dan de structuur voor twee vragen.</w:t>
      </w:r>
    </w:p>
    <w:p>
      <w:pPr>
        <w:spacing w:after="40" w:line="275"/>
        <w:ind w:left="420"/>
      </w:pPr>
      <w:r>
        <w:rPr>
          <w:rFonts w:ascii="Calibri" w:cs="Calibri" w:eastAsia="Calibri" w:hAnsi="Calibri"/>
          <w:color w:val="5F7375"/>
          <w:sz w:val="19"/>
          <w:szCs w:val="19"/>
        </w:rPr>
        <w:t xml:space="preserve">Breid de besluitrechtenmatrix uit deel 16 uit en beleg de twee eigen vragen bij een validatiefunctie.</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aanbeveling die vrijwel altijd wordt overgenomen een besluit? En wie is er dan verantwoordelijk?</w:t>
      </w:r>
    </w:p>
    <w:p>
      <w:pPr>
        <w:pStyle w:val="ListParagraph"/>
        <w:numPr>
          <w:ilvl w:val="0"/>
          <w:numId w:val="3"/>
        </w:numPr>
        <w:spacing w:after="70" w:line="280"/>
      </w:pPr>
      <w:r>
        <w:rPr>
          <w:rFonts w:ascii="Calibri" w:cs="Calibri" w:eastAsia="Calibri" w:hAnsi="Calibri"/>
          <w:color w:val="0E1A1C"/>
          <w:sz w:val="21"/>
          <w:szCs w:val="21"/>
        </w:rPr>
        <w:t xml:space="preserve">Mag een organisatie meten op kenmerken waarop zij niet mag modelleren?</w:t>
      </w:r>
    </w:p>
    <w:p>
      <w:pPr>
        <w:pStyle w:val="ListParagraph"/>
        <w:numPr>
          <w:ilvl w:val="0"/>
          <w:numId w:val="3"/>
        </w:numPr>
        <w:spacing w:after="70" w:line="280"/>
      </w:pPr>
      <w:r>
        <w:rPr>
          <w:rFonts w:ascii="Calibri" w:cs="Calibri" w:eastAsia="Calibri" w:hAnsi="Calibri"/>
          <w:color w:val="0E1A1C"/>
          <w:sz w:val="21"/>
          <w:szCs w:val="21"/>
        </w:rPr>
        <w:t xml:space="preserve">Wie zou de fairnessmaat moeten kiezen: de ontwikkelaar, de verantwoordelijke, of de betrokkene?</w:t>
      </w:r>
    </w:p>
    <w:p>
      <w:pPr>
        <w:pStyle w:val="ListParagraph"/>
        <w:numPr>
          <w:ilvl w:val="0"/>
          <w:numId w:val="3"/>
        </w:numPr>
        <w:spacing w:after="70" w:line="280"/>
      </w:pPr>
      <w:r>
        <w:rPr>
          <w:rFonts w:ascii="Calibri" w:cs="Calibri" w:eastAsia="Calibri" w:hAnsi="Calibri"/>
          <w:color w:val="0E1A1C"/>
          <w:sz w:val="21"/>
          <w:szCs w:val="21"/>
        </w:rPr>
        <w:t xml:space="preserve">Is AI-governance een eigen discipline of een uitbreiding van datagovernance?</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4 een vierde maat opzoeken en beoordelen of die de afruil verandert.</w:t>
      </w:r>
    </w:p>
    <w:p>
      <w:pPr>
        <w:pStyle w:val="ListParagraph"/>
        <w:numPr>
          <w:ilvl w:val="0"/>
          <w:numId w:val="2"/>
        </w:numPr>
        <w:spacing w:after="70" w:line="280"/>
      </w:pPr>
      <w:r>
        <w:rPr>
          <w:rFonts w:ascii="Calibri" w:cs="Calibri" w:eastAsia="Calibri" w:hAnsi="Calibri"/>
          <w:color w:val="0E1A1C"/>
          <w:sz w:val="21"/>
          <w:szCs w:val="21"/>
        </w:rPr>
        <w:t xml:space="preserve">Vraag om bij opdracht 6 een variant te ontwerpen waarin de zoeklaag wél autorisatie overneemt, en de gevolgen voor de prestaties in te schatten.</w:t>
      </w:r>
    </w:p>
    <w:p>
      <w:pPr>
        <w:pStyle w:val="ListParagraph"/>
        <w:numPr>
          <w:ilvl w:val="0"/>
          <w:numId w:val="2"/>
        </w:numPr>
        <w:spacing w:after="70" w:line="280"/>
      </w:pPr>
      <w:r>
        <w:rPr>
          <w:rFonts w:ascii="Calibri" w:cs="Calibri" w:eastAsia="Calibri" w:hAnsi="Calibri"/>
          <w:color w:val="0E1A1C"/>
          <w:sz w:val="21"/>
          <w:szCs w:val="21"/>
        </w:rPr>
        <w:t xml:space="preserve">Laat opdracht 3 uitbreiden met een toepassing die de leverancier levert: wie is dan verantwoordelijk voor welke poort?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1 tot zes toepassingen.</w:t>
      </w:r>
    </w:p>
    <w:p>
      <w:pPr>
        <w:pStyle w:val="ListParagraph"/>
        <w:numPr>
          <w:ilvl w:val="0"/>
          <w:numId w:val="2"/>
        </w:numPr>
        <w:spacing w:after="70" w:line="280"/>
      </w:pPr>
      <w:r>
        <w:rPr>
          <w:rFonts w:ascii="Calibri" w:cs="Calibri" w:eastAsia="Calibri" w:hAnsi="Calibri"/>
          <w:color w:val="0E1A1C"/>
          <w:sz w:val="21"/>
          <w:szCs w:val="21"/>
        </w:rPr>
        <w:t xml:space="preserve">Geef bij opdracht 4 twee maten voor; de derde en de afruil zijn dan de oefening.</w:t>
      </w:r>
    </w:p>
    <w:p>
      <w:pPr>
        <w:pStyle w:val="ListParagraph"/>
        <w:numPr>
          <w:ilvl w:val="0"/>
          <w:numId w:val="2"/>
        </w:numPr>
        <w:spacing w:after="70" w:line="280"/>
      </w:pPr>
      <w:r>
        <w:rPr>
          <w:rFonts w:ascii="Calibri" w:cs="Calibri" w:eastAsia="Calibri" w:hAnsi="Calibri"/>
          <w:color w:val="0E1A1C"/>
          <w:sz w:val="21"/>
          <w:szCs w:val="21"/>
        </w:rPr>
        <w:t xml:space="preserve">Wijs bij opdracht 6 de zoeklaag aan; het volgen van de vraag door de plaat is dan de oefening.</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"Valt ons model onder hoog risico?"</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is een juridische beoordeling en hangt af van de precieze uitwerking. Jouw rol is de toepassing zo beschrijven dat de jurist kan beoordelen, en de gevolgen inzichtelijk maken.</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een regelgebaseerd systeem als AI?"</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 de governancevragen grotendeels wel: mag dit, deugt het, blijft het deugen. Voor de juridische classificatie is dat een aparte vraag.</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"Moeten we een AI-board instellen?"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Drie van de vijf governancevragen horen bij bestaande gremia; breid de besluitrechtenmatrix uit en beleg de twee eigen vragen bij validatie.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de AIGP de moeite waard?"</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je veel met AI-toepassingen werkt wel. Het is een apart examen met eigen kosten en de stof is per februari 2026 uitgebreid — controleer de actuele versie.</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en niet erkend door IAPP;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27 — AI- en modelgovernance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 modelgovernance — Docentenhandleiding</dc:title>
  <dc:creator>Ductus B.V.</dc:creator>
  <dc:description>Cursusmateriaal datamanagement, data-analyse en data governance</dc:description>
  <cp:lastModifiedBy>Un-named</cp:lastModifiedBy>
  <cp:revision>1</cp:revision>
  <dcterms:created xsi:type="dcterms:W3CDTF">2026-08-05T13:16:18.688Z</dcterms:created>
  <dcterms:modified xsi:type="dcterms:W3CDTF">2026-08-05T13:16:18.688Z</dcterms:modified>
</cp:coreProperties>
</file>

<file path=docProps/custom.xml><?xml version="1.0" encoding="utf-8"?>
<Properties xmlns="http://schemas.openxmlformats.org/officeDocument/2006/custom-properties" xmlns:vt="http://schemas.openxmlformats.org/officeDocument/2006/docPropsVTypes"/>
</file>