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27</w:t>
      </w:r>
    </w:p>
    <w:p>
      <w:pPr>
        <w:spacing w:after="120"/>
      </w:pPr>
      <w:r>
        <w:rPr>
          <w:rFonts w:ascii="Cambria" w:cs="Cambria" w:eastAsia="Cambria" w:hAnsi="Cambria"/>
          <w:b/>
          <w:bCs/>
          <w:color w:val="0E1A1C"/>
          <w:sz w:val="56"/>
          <w:szCs w:val="56"/>
        </w:rPr>
        <w:t xml:space="preserve">AI- en modelgovernance</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10 uur (6 uur klassikaal, 4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IAPP AIGP  ·  CDMP Big Data &amp; Data Science</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De gefuseerde organisatie, jaar twee</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Dit deel veroudert sneller dan de rest</w:t>
            </w:r>
          </w:p>
          <w:p>
            <w:pPr>
              <w:spacing w:after="60" w:line="280"/>
            </w:pPr>
            <w:r>
              <w:rPr>
                <w:rFonts w:ascii="Calibri" w:cs="Calibri" w:eastAsia="Calibri" w:hAnsi="Calibri"/>
                <w:color w:val="0E1A1C"/>
                <w:sz w:val="20"/>
                <w:szCs w:val="20"/>
              </w:rPr>
              <w:t xml:space="preserve">De regelgeving rond AI is in ontwikkeling en de examenstof van de AIGP is per februari 2026 uitgebreid. De inhoud van dit deel is gecontroleerd in augustus 2026 en beschrijft de strekking, niet de exacte tekst of de precieze toepassingsdata. Controleer de actuele stand bij de bron — de Europese Commissie, de toezichthouder, en iapp.org — vóórdat je een advies uitbrengt of je inschrijft voor het examen.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Nautilus had bij de fusie drie modellen in productie: een verloopvoorspelling voor werkgeverscontracten, een prioriteringsmodel voor de klantcontactafdeling, en een taalmodeltoepassing die inkomende e-mail categoriseert. Meridiaan had er geen. Bij de inventarisatie een jaar later blijken het er twaalf te zijn — negen daarvan hadden niemand als AI aangemerkt.</w:t>
      </w:r>
    </w:p>
    <w:p>
      <w:pPr>
        <w:spacing w:after="140" w:line="288"/>
      </w:pPr>
      <w:r>
        <w:rPr>
          <w:rFonts w:ascii="Calibri" w:cs="Calibri" w:eastAsia="Calibri" w:hAnsi="Calibri"/>
          <w:color w:val="0E1A1C"/>
          <w:sz w:val="21"/>
          <w:szCs w:val="21"/>
        </w:rPr>
        <w:t xml:space="preserve">Dat patroon is de kern van dit deel. AI-governance begint niet bij het reguleren van modellen die iedereen als AI herkent, maar bij het vinden van de toepassingen die onder de radar zijn ontstaan: een regressiemodel in een spreadsheet, een scoringsregel die iemand ooit heeft ingesteld, een taalmodel dat via een leveranciersfunctie is binnengekomen.</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stelt een AI-inventarisatie op die ook de toepassingen vindt die niet zo heten.</w:t>
      </w:r>
    </w:p>
    <w:p>
      <w:pPr>
        <w:pStyle w:val="ListParagraph"/>
        <w:numPr>
          <w:ilvl w:val="0"/>
          <w:numId w:val="2"/>
        </w:numPr>
        <w:spacing w:after="70" w:line="280"/>
      </w:pPr>
      <w:r>
        <w:rPr>
          <w:rFonts w:ascii="Calibri" w:cs="Calibri" w:eastAsia="Calibri" w:hAnsi="Calibri"/>
          <w:color w:val="0E1A1C"/>
          <w:sz w:val="21"/>
          <w:szCs w:val="21"/>
        </w:rPr>
        <w:t xml:space="preserve">Je classificeert toepassingen naar risico en leidt daaruit verplichtingen af.</w:t>
      </w:r>
    </w:p>
    <w:p>
      <w:pPr>
        <w:pStyle w:val="ListParagraph"/>
        <w:numPr>
          <w:ilvl w:val="0"/>
          <w:numId w:val="2"/>
        </w:numPr>
        <w:spacing w:after="70" w:line="280"/>
      </w:pPr>
      <w:r>
        <w:rPr>
          <w:rFonts w:ascii="Calibri" w:cs="Calibri" w:eastAsia="Calibri" w:hAnsi="Calibri"/>
          <w:color w:val="0E1A1C"/>
          <w:sz w:val="21"/>
          <w:szCs w:val="21"/>
        </w:rPr>
        <w:t xml:space="preserve">Je ontwerpt een gate-proces waarin een model niet in productie komt zonder besluit.</w:t>
      </w:r>
    </w:p>
    <w:p>
      <w:pPr>
        <w:pStyle w:val="ListParagraph"/>
        <w:numPr>
          <w:ilvl w:val="0"/>
          <w:numId w:val="2"/>
        </w:numPr>
        <w:spacing w:after="70" w:line="280"/>
      </w:pPr>
      <w:r>
        <w:rPr>
          <w:rFonts w:ascii="Calibri" w:cs="Calibri" w:eastAsia="Calibri" w:hAnsi="Calibri"/>
          <w:color w:val="0E1A1C"/>
          <w:sz w:val="21"/>
          <w:szCs w:val="21"/>
        </w:rPr>
        <w:t xml:space="preserve">Je maakt bias en fairness meetbaar en kent de grenzen van die maten.</w:t>
      </w:r>
    </w:p>
    <w:p>
      <w:pPr>
        <w:pStyle w:val="ListParagraph"/>
        <w:numPr>
          <w:ilvl w:val="0"/>
          <w:numId w:val="2"/>
        </w:numPr>
        <w:spacing w:after="70" w:line="280"/>
      </w:pPr>
      <w:r>
        <w:rPr>
          <w:rFonts w:ascii="Calibri" w:cs="Calibri" w:eastAsia="Calibri" w:hAnsi="Calibri"/>
          <w:color w:val="0E1A1C"/>
          <w:sz w:val="21"/>
          <w:szCs w:val="21"/>
        </w:rPr>
        <w:t xml:space="preserve">Je beoordeelt een driftrapport en bepaalt wanneer ingrijpen nodig is.</w:t>
      </w:r>
    </w:p>
    <w:p>
      <w:pPr>
        <w:pStyle w:val="ListParagraph"/>
        <w:numPr>
          <w:ilvl w:val="0"/>
          <w:numId w:val="2"/>
        </w:numPr>
        <w:spacing w:after="70" w:line="280"/>
      </w:pPr>
      <w:r>
        <w:rPr>
          <w:rFonts w:ascii="Calibri" w:cs="Calibri" w:eastAsia="Calibri" w:hAnsi="Calibri"/>
          <w:color w:val="0E1A1C"/>
          <w:sz w:val="21"/>
          <w:szCs w:val="21"/>
        </w:rPr>
        <w:t xml:space="preserve">Je herkent de datalekrisico’s in een RAG-architectuur en ontwerpt maatregelen.</w:t>
      </w:r>
    </w:p>
    <w:p>
      <w:pPr>
        <w:pStyle w:val="ListParagraph"/>
        <w:numPr>
          <w:ilvl w:val="0"/>
          <w:numId w:val="2"/>
        </w:numPr>
        <w:spacing w:after="70" w:line="280"/>
      </w:pPr>
      <w:r>
        <w:rPr>
          <w:rFonts w:ascii="Calibri" w:cs="Calibri" w:eastAsia="Calibri" w:hAnsi="Calibri"/>
          <w:color w:val="0E1A1C"/>
          <w:sz w:val="21"/>
          <w:szCs w:val="21"/>
        </w:rPr>
        <w:t xml:space="preserve">Je legt uit hoe AI-governance zich verhoudt tot datagovernance in plaats van ernaast te staan.</w:t>
      </w:r>
    </w:p>
    <w:p>
      <w:r>
        <w:br w:type="page"/>
      </w:r>
    </w:p>
    <w:p>
      <w:pPr>
        <w:pStyle w:val="Heading1"/>
        <w:spacing w:after="200" w:before="420"/>
      </w:pPr>
      <w:r>
        <w:rPr>
          <w:rFonts w:ascii="Cambria" w:cs="Cambria" w:eastAsia="Cambria" w:hAnsi="Cambria"/>
          <w:b/>
          <w:bCs/>
          <w:color w:val="1B4A48"/>
          <w:sz w:val="34"/>
          <w:szCs w:val="34"/>
        </w:rPr>
        <w:t xml:space="preserve">2. De levensloop van een model</w:t>
      </w:r>
    </w:p>
    <w:p>
      <w:pPr>
        <w:spacing w:after="140" w:line="288"/>
      </w:pPr>
      <w:r>
        <w:rPr>
          <w:rFonts w:ascii="Calibri" w:cs="Calibri" w:eastAsia="Calibri" w:hAnsi="Calibri"/>
          <w:color w:val="0E1A1C"/>
          <w:sz w:val="21"/>
          <w:szCs w:val="21"/>
        </w:rPr>
        <w:t xml:space="preserve">Een model is geen product maar een proces dat blijft draaien. De governancevragen verschillen per fase, en de fase die het vaakst onbeheerd blijft, is de laatste.</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800"/>
        <w:gridCol w:w="4000"/>
        <w:gridCol w:w="3220"/>
      </w:tblGrid>
      <w:tr>
        <w:trPr>
          <w:tblHeader/>
        </w:trPr>
        <w:tc>
          <w:tcPr>
            <w:tcW w:type="dxa" w:w="1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Fase</w:t>
            </w:r>
          </w:p>
        </w:tc>
        <w:tc>
          <w:tcPr>
            <w:tcW w:type="dxa" w:w="4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Governancevraag</w:t>
            </w:r>
          </w:p>
        </w:tc>
        <w:tc>
          <w:tcPr>
            <w:tcW w:type="dxa" w:w="32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Wie beslist</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Probleemstelling</w:t>
            </w:r>
          </w:p>
        </w:tc>
        <w:tc>
          <w:tcPr>
            <w:tcW w:type="dxa" w:w="4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een model hier het passende middel, en wat is het alternatief?</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proceseigenaar</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verzamelen</w:t>
            </w:r>
          </w:p>
        </w:tc>
        <w:tc>
          <w:tcPr>
            <w:tcW w:type="dxa" w:w="4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dit, met welke grondslag, en is de dataset representatief?</w:t>
            </w:r>
          </w:p>
        </w:tc>
        <w:tc>
          <w:tcPr>
            <w:tcW w:type="dxa" w:w="3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owner en FG</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Trainen</w:t>
            </w:r>
          </w:p>
        </w:tc>
        <w:tc>
          <w:tcPr>
            <w:tcW w:type="dxa" w:w="4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bias zit in de historie die we herhalen?</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ontwikkelaar, met toetsing</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Valideren</w:t>
            </w:r>
          </w:p>
        </w:tc>
        <w:tc>
          <w:tcPr>
            <w:tcW w:type="dxa" w:w="4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Presteert het goed genoeg, en voor welke groepen niet?</w:t>
            </w:r>
          </w:p>
        </w:tc>
        <w:tc>
          <w:tcPr>
            <w:tcW w:type="dxa" w:w="3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onafhankelijke validator</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Accepteren</w:t>
            </w:r>
          </w:p>
        </w:tc>
        <w:tc>
          <w:tcPr>
            <w:tcW w:type="dxa" w:w="4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Nemen we dit in productie, en wie tekent daarvoor?</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verwerkingsverantwoordelijke</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Monitoren</w:t>
            </w:r>
          </w:p>
        </w:tc>
        <w:tc>
          <w:tcPr>
            <w:tcW w:type="dxa" w:w="4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Blijft het presteren, en wie kijkt ernaar?</w:t>
            </w:r>
          </w:p>
        </w:tc>
        <w:tc>
          <w:tcPr>
            <w:tcW w:type="dxa" w:w="3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modeleigenaar</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Uitfaseren</w:t>
            </w:r>
          </w:p>
        </w:tc>
        <w:tc>
          <w:tcPr>
            <w:tcW w:type="dxa" w:w="4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Wanneer stoppen we, en wat gebeurt er met de uitkomsten?</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modeleigenaar — in de praktijk niemand</w:t>
            </w:r>
          </w:p>
        </w:tc>
      </w:tr>
    </w:tbl>
    <w:p>
      <w:pPr>
        <w:spacing w:after="140"/>
      </w:pPr>
      <w:r>
        <w:t xml:space="preserve"/>
      </w:r>
    </w:p>
    <w:p>
      <w:pPr>
        <w:spacing w:after="140" w:line="288"/>
      </w:pPr>
      <w:r>
        <w:rPr>
          <w:rFonts w:ascii="Calibri" w:cs="Calibri" w:eastAsia="Calibri" w:hAnsi="Calibri"/>
          <w:color w:val="0E1A1C"/>
          <w:sz w:val="21"/>
          <w:szCs w:val="21"/>
        </w:rPr>
        <w:t xml:space="preserve">De laatste rij verdient nadruk. Modellen worden zelden uitgefaseerd; ze blijven draaien tot iemand toevallig merkt dat de uitkomsten niet meer kloppen. Leg bij acceptatie de uitfaseringsvoorwaarde vast — dezelfde afspraak als bij legacysystemen in deel 25.</w:t>
      </w:r>
    </w:p>
    <w:p>
      <w:pPr>
        <w:pStyle w:val="Heading3"/>
        <w:spacing w:after="100" w:before="240"/>
      </w:pPr>
      <w:r>
        <w:rPr>
          <w:rFonts w:ascii="Calibri" w:cs="Calibri" w:eastAsia="Calibri" w:hAnsi="Calibri"/>
          <w:b/>
          <w:bCs/>
          <w:color w:val="3F7D74"/>
          <w:sz w:val="22"/>
          <w:szCs w:val="22"/>
        </w:rPr>
        <w:t xml:space="preserve">Het onderscheid dat governance mogelijk maakt</w:t>
      </w:r>
    </w:p>
    <w:p>
      <w:pPr>
        <w:spacing w:after="140" w:line="288"/>
      </w:pPr>
      <w:r>
        <w:rPr>
          <w:rFonts w:ascii="Calibri" w:cs="Calibri" w:eastAsia="Calibri" w:hAnsi="Calibri"/>
          <w:color w:val="0E1A1C"/>
          <w:sz w:val="21"/>
          <w:szCs w:val="21"/>
        </w:rPr>
        <w:t xml:space="preserve">Een model dat aanbeveelt is iets anders dan een model dat beslist. Die twee vragen een verschillend regime, en het onderscheid vervaagt in de praktijk: een aanbeveling die in negenennegentig procent van de gevallen wordt overgenomen, is feitelijk een besluit. Toets dat empirisch in plaats van op ontwerpintentie — meet hoe vaak de mens afwijkt.</w:t>
      </w:r>
    </w:p>
    <w:p>
      <w:pPr>
        <w:pStyle w:val="Heading1"/>
        <w:spacing w:after="200" w:before="420"/>
      </w:pPr>
      <w:r>
        <w:rPr>
          <w:rFonts w:ascii="Cambria" w:cs="Cambria" w:eastAsia="Cambria" w:hAnsi="Cambria"/>
          <w:b/>
          <w:bCs/>
          <w:color w:val="1B4A48"/>
          <w:sz w:val="34"/>
          <w:szCs w:val="34"/>
        </w:rPr>
        <w:t xml:space="preserve">3. Risicoclassificatie</w:t>
      </w:r>
    </w:p>
    <w:p>
      <w:pPr>
        <w:spacing w:after="140" w:line="288"/>
      </w:pPr>
      <w:r>
        <w:rPr>
          <w:rFonts w:ascii="Calibri" w:cs="Calibri" w:eastAsia="Calibri" w:hAnsi="Calibri"/>
          <w:color w:val="0E1A1C"/>
          <w:sz w:val="21"/>
          <w:szCs w:val="21"/>
        </w:rPr>
        <w:t xml:space="preserve">De Europese AI-verordening deelt toepassingen in naar risico, met per categorie andere verplichtingen. De hoofdindeling is stabiel genoeg om mee te werken; de precieze afbakening en de toepassingsdata zijn dat minder, dus controleer die bij de bron.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800"/>
        <w:gridCol w:w="33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Categorie</w:t>
            </w:r>
          </w:p>
        </w:tc>
        <w:tc>
          <w:tcPr>
            <w:tcW w:type="dxa" w:w="3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Strekking</w:t>
            </w:r>
          </w:p>
        </w:tc>
        <w:tc>
          <w:tcPr>
            <w:tcW w:type="dxa" w:w="33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Gevolg voor jouw werk</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Verboden praktijken</w:t>
            </w:r>
          </w:p>
        </w:tc>
        <w:tc>
          <w:tcPr>
            <w:tcW w:type="dxa" w:w="3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Toepassingen die onaanvaardbaar worden geacht, zoals bepaalde vormen van manipulatie en sociale scoring</w:t>
            </w:r>
          </w:p>
        </w:tc>
        <w:tc>
          <w:tcPr>
            <w:tcW w:type="dxa" w:w="33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Herkennen en stoppen; geen afweging mogelijk</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Hoog risico</w:t>
            </w:r>
          </w:p>
        </w:tc>
        <w:tc>
          <w:tcPr>
            <w:tcW w:type="dxa" w:w="3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Toepassingen met aanzienlijke gevolgen voor mensen, onder meer in werkgelegenheid, kredietverlening en essentiële diensten</w:t>
            </w:r>
          </w:p>
        </w:tc>
        <w:tc>
          <w:tcPr>
            <w:tcW w:type="dxa" w:w="33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Zwaar regime: risicobeheer, datakwaliteit, documentatie, menselijk toezicht, logging, aantoonbaarheid</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Transparantieplicht</w:t>
            </w:r>
          </w:p>
        </w:tc>
        <w:tc>
          <w:tcPr>
            <w:tcW w:type="dxa" w:w="3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Toepassingen waarbij mensen moeten weten dat zij met AI te maken hebben of dat inhoud is gegenereerd</w:t>
            </w:r>
          </w:p>
        </w:tc>
        <w:tc>
          <w:tcPr>
            <w:tcW w:type="dxa" w:w="33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Informeren, en dat aantoonbaar inrichten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Overig</w:t>
            </w:r>
          </w:p>
        </w:tc>
        <w:tc>
          <w:tcPr>
            <w:tcW w:type="dxa" w:w="3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rest</w:t>
            </w:r>
          </w:p>
        </w:tc>
        <w:tc>
          <w:tcPr>
            <w:tcW w:type="dxa" w:w="33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Geen specifieke verplichtingen uit de verordening; de AVG geldt onverkort</w:t>
            </w:r>
          </w:p>
        </w:tc>
      </w:tr>
    </w:tbl>
    <w:p>
      <w:pPr>
        <w:spacing w:after="140"/>
      </w:pPr>
      <w:r>
        <w:t xml:space="preserve"/>
      </w:r>
    </w:p>
    <w:p>
      <w:pPr>
        <w:spacing w:after="140" w:line="288"/>
      </w:pPr>
      <w:r>
        <w:rPr>
          <w:rFonts w:ascii="Calibri" w:cs="Calibri" w:eastAsia="Calibri" w:hAnsi="Calibri"/>
          <w:color w:val="0E1A1C"/>
          <w:sz w:val="21"/>
          <w:szCs w:val="21"/>
        </w:rPr>
        <w:t xml:space="preserve">Voor een pensioenuitvoerder is de tweede categorie de meest relevante en de meest betwiste. Of een specifieke toepassing eronder valt, hangt af van de precieze uitwerking en van hoe de bijlagen worden gelezen. Dat is een juridische beoordeling en geen architectenoordeel — jouw rol is de toepassing zo beschrijven dat de jurist kan beoordelen, en de gevolgen inzichtelijk maken als de uitkomst hoog risico is.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praktische route</w:t>
            </w:r>
          </w:p>
          <w:p>
            <w:pPr>
              <w:spacing w:after="60" w:line="280"/>
            </w:pPr>
            <w:r>
              <w:rPr>
                <w:rFonts w:ascii="Calibri" w:cs="Calibri" w:eastAsia="Calibri" w:hAnsi="Calibri"/>
                <w:color w:val="0E1A1C"/>
                <w:sz w:val="20"/>
                <w:szCs w:val="20"/>
              </w:rPr>
              <w:t xml:space="preserve">Classificeer in drie stappen: eerst zelf een voorlopige indeling met de argumenten erbij, dan een juridische toets op de twijfelgevallen, dan een besluit door de verwerkingsverantwoordelijke met vastlegging. Wie de eerste stap overslaat en alles bij de jurist neerlegt, krijgt maanden vertraging; wie de tweede overslaat, krijgt een indeling die niet standhoudt.</w:t>
            </w:r>
          </w:p>
        </w:tc>
      </w:tr>
    </w:tbl>
    <w:p>
      <w:pPr>
        <w:pStyle w:val="Heading1"/>
        <w:spacing w:after="200" w:before="420"/>
      </w:pPr>
      <w:r>
        <w:rPr>
          <w:rFonts w:ascii="Cambria" w:cs="Cambria" w:eastAsia="Cambria" w:hAnsi="Cambria"/>
          <w:b/>
          <w:bCs/>
          <w:color w:val="1B4A48"/>
          <w:sz w:val="34"/>
          <w:szCs w:val="34"/>
        </w:rPr>
        <w:t xml:space="preserve">4. Bias en fairness meetbaar maken</w:t>
      </w:r>
    </w:p>
    <w:p>
      <w:pPr>
        <w:spacing w:after="140" w:line="288"/>
      </w:pPr>
      <w:r>
        <w:rPr>
          <w:rFonts w:ascii="Calibri" w:cs="Calibri" w:eastAsia="Calibri" w:hAnsi="Calibri"/>
          <w:color w:val="0E1A1C"/>
          <w:sz w:val="21"/>
          <w:szCs w:val="21"/>
        </w:rPr>
        <w:t xml:space="preserve">"Het model mag niet discrimineren" is geen eis maar een intentie. Om er iets mee te kunnen, moet je kiezen wat je meet — en die keuze is inhoudelijk, niet technisch.</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400"/>
        <w:gridCol w:w="3200"/>
        <w:gridCol w:w="3420"/>
      </w:tblGrid>
      <w:tr>
        <w:trPr>
          <w:tblHeader/>
        </w:trPr>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Maat</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hij gelijk trekt</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 passend</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Gelijke uitkomstverdeling</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aandeel positieve uitkomsten per groep</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Als je gelijke behandeling in uitkomst wilt, ongeacht verschillen in de populatie</w:t>
            </w:r>
          </w:p>
        </w:tc>
      </w:tr>
      <w:tr>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Gelijke foutkansen</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kans op een fout, per groep</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Als het gaat om wie er ten onrechte wordt geraakt</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Gelijke voorspelwaarde</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betrouwbaarheid van een positieve voorspelling per groep</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Als de uitkomst wordt gebruikt om te selecteren</w:t>
            </w:r>
          </w:p>
        </w:tc>
      </w:tr>
    </w:tbl>
    <w:p>
      <w:pPr>
        <w:spacing w:after="140"/>
      </w:pPr>
      <w:r>
        <w:t xml:space="preserve"/>
      </w:r>
    </w:p>
    <w:p>
      <w:pPr>
        <w:spacing w:after="140" w:line="288"/>
      </w:pPr>
      <w:r>
        <w:rPr>
          <w:rFonts w:ascii="Calibri" w:cs="Calibri" w:eastAsia="Calibri" w:hAnsi="Calibri"/>
          <w:color w:val="0E1A1C"/>
          <w:sz w:val="21"/>
          <w:szCs w:val="21"/>
        </w:rPr>
        <w:t xml:space="preserve">De belangrijkste eigenschap van deze maten: je kunt ze in de regel niet allemaal tegelijk halen. Dat is geen tekortkoming van de techniek maar een wiskundig gevolg van het feit dat de groepen verschillen. De keuze welke maat je hanteert, is dus een normatieve keuze — en die hoort bij de verantwoordelijke, niet bij de ontwikkelaar.</w:t>
      </w:r>
    </w:p>
    <w:p>
      <w:pPr>
        <w:pStyle w:val="Heading3"/>
        <w:spacing w:after="100" w:before="240"/>
      </w:pPr>
      <w:r>
        <w:rPr>
          <w:rFonts w:ascii="Calibri" w:cs="Calibri" w:eastAsia="Calibri" w:hAnsi="Calibri"/>
          <w:b/>
          <w:bCs/>
          <w:color w:val="3F7D74"/>
          <w:sz w:val="22"/>
          <w:szCs w:val="22"/>
        </w:rPr>
        <w:t xml:space="preserve">Wat je bovendien doet</w:t>
      </w:r>
    </w:p>
    <w:p>
      <w:pPr>
        <w:pStyle w:val="ListParagraph"/>
        <w:numPr>
          <w:ilvl w:val="0"/>
          <w:numId w:val="3"/>
        </w:numPr>
        <w:spacing w:after="70" w:line="280"/>
      </w:pPr>
      <w:r>
        <w:rPr>
          <w:rFonts w:ascii="Calibri" w:cs="Calibri" w:eastAsia="Calibri" w:hAnsi="Calibri"/>
          <w:color w:val="0E1A1C"/>
          <w:sz w:val="21"/>
          <w:szCs w:val="21"/>
        </w:rPr>
        <w:t xml:space="preserve">Meet ook op groepen die je niet mag gebruiken als kenmerk. Je mag niet op afkomst modelleren; je moet wel weten of het model er systematisch anders op uitpakt. Dat vraagt een aparte, zorgvuldig belegde meting.</w:t>
      </w:r>
    </w:p>
    <w:p>
      <w:pPr>
        <w:pStyle w:val="ListParagraph"/>
        <w:numPr>
          <w:ilvl w:val="0"/>
          <w:numId w:val="3"/>
        </w:numPr>
        <w:spacing w:after="70" w:line="280"/>
      </w:pPr>
      <w:r>
        <w:rPr>
          <w:rFonts w:ascii="Calibri" w:cs="Calibri" w:eastAsia="Calibri" w:hAnsi="Calibri"/>
          <w:color w:val="0E1A1C"/>
          <w:sz w:val="21"/>
          <w:szCs w:val="21"/>
        </w:rPr>
        <w:t xml:space="preserve">Zoek naar proxy’s: postcode, opleidingsniveau en sector dragen informatie die je niet wilde meenemen.</w:t>
      </w:r>
    </w:p>
    <w:p>
      <w:pPr>
        <w:pStyle w:val="ListParagraph"/>
        <w:numPr>
          <w:ilvl w:val="0"/>
          <w:numId w:val="3"/>
        </w:numPr>
        <w:spacing w:after="70" w:line="280"/>
      </w:pPr>
      <w:r>
        <w:rPr>
          <w:rFonts w:ascii="Calibri" w:cs="Calibri" w:eastAsia="Calibri" w:hAnsi="Calibri"/>
          <w:color w:val="0E1A1C"/>
          <w:sz w:val="21"/>
          <w:szCs w:val="21"/>
        </w:rPr>
        <w:t xml:space="preserve">Meet per relevante groep en niet alleen totaal. Een model dat gemiddeld goed presteert, kan voor een kleine groep systematisch fout zijn — precies wat in de totalen verdwijnt, zoals in deel 18.</w:t>
      </w:r>
    </w:p>
    <w:p>
      <w:pPr>
        <w:pStyle w:val="ListParagraph"/>
        <w:numPr>
          <w:ilvl w:val="0"/>
          <w:numId w:val="3"/>
        </w:numPr>
        <w:spacing w:after="70" w:line="280"/>
      </w:pPr>
      <w:r>
        <w:rPr>
          <w:rFonts w:ascii="Calibri" w:cs="Calibri" w:eastAsia="Calibri" w:hAnsi="Calibri"/>
          <w:color w:val="0E1A1C"/>
          <w:sz w:val="21"/>
          <w:szCs w:val="21"/>
        </w:rPr>
        <w:t xml:space="preserve">Leg vast welke maat is gekozen en door wie. Bij een klacht is dat de eerste vraag.</w:t>
      </w:r>
    </w:p>
    <w:p>
      <w:r>
        <w:br w:type="page"/>
      </w:r>
    </w:p>
    <w:p>
      <w:pPr>
        <w:pStyle w:val="Heading1"/>
        <w:spacing w:after="200" w:before="420"/>
      </w:pPr>
      <w:r>
        <w:rPr>
          <w:rFonts w:ascii="Cambria" w:cs="Cambria" w:eastAsia="Cambria" w:hAnsi="Cambria"/>
          <w:b/>
          <w:bCs/>
          <w:color w:val="1B4A48"/>
          <w:sz w:val="34"/>
          <w:szCs w:val="34"/>
        </w:rPr>
        <w:t xml:space="preserve">5. Uitlegbaarheid</w:t>
      </w:r>
    </w:p>
    <w:p>
      <w:pPr>
        <w:spacing w:after="140" w:line="288"/>
      </w:pPr>
      <w:r>
        <w:rPr>
          <w:rFonts w:ascii="Calibri" w:cs="Calibri" w:eastAsia="Calibri" w:hAnsi="Calibri"/>
          <w:color w:val="0E1A1C"/>
          <w:sz w:val="21"/>
          <w:szCs w:val="21"/>
        </w:rPr>
        <w:t xml:space="preserve">Uitlegbaarheid is geen technische eigenschap maar een eis die uit gebruik volgt. De vraag is niet of het model uitlegbaar is, maar aan wie en waarvoor.</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4000"/>
        <w:gridCol w:w="31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 wie</w:t>
            </w:r>
          </w:p>
        </w:tc>
        <w:tc>
          <w:tcPr>
            <w:tcW w:type="dxa" w:w="4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die nodig heeft</w:t>
            </w:r>
          </w:p>
        </w:tc>
        <w:tc>
          <w:tcPr>
            <w:tcW w:type="dxa" w:w="3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volstaat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betrokkene</w:t>
            </w:r>
          </w:p>
        </w:tc>
        <w:tc>
          <w:tcPr>
            <w:tcW w:type="dxa" w:w="4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Waarom is dit besluit over mij genomen, en wat kan ik ertegen doen?</w:t>
            </w:r>
          </w:p>
        </w:tc>
        <w:tc>
          <w:tcPr>
            <w:tcW w:type="dxa" w:w="3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begrijpelijke reden plus een route naar bezwaar</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medewerker</w:t>
            </w:r>
          </w:p>
        </w:tc>
        <w:tc>
          <w:tcPr>
            <w:tcW w:type="dxa" w:w="4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Kan ik hierop vertrouwen, en wanneer wijk ik af?</w:t>
            </w:r>
          </w:p>
        </w:tc>
        <w:tc>
          <w:tcPr>
            <w:tcW w:type="dxa" w:w="3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Inzicht in de belangrijkste factoren en in de betrouwbaarheid</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validator</w:t>
            </w:r>
          </w:p>
        </w:tc>
        <w:tc>
          <w:tcPr>
            <w:tcW w:type="dxa" w:w="4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Doet het model wat we denken?</w:t>
            </w:r>
          </w:p>
        </w:tc>
        <w:tc>
          <w:tcPr>
            <w:tcW w:type="dxa" w:w="3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Technische verklaringen op modelniveau</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toezichthouder</w:t>
            </w:r>
          </w:p>
        </w:tc>
        <w:tc>
          <w:tcPr>
            <w:tcW w:type="dxa" w:w="4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dit beheerst en aantoonbaar?</w:t>
            </w:r>
          </w:p>
        </w:tc>
        <w:tc>
          <w:tcPr>
            <w:tcW w:type="dxa" w:w="3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Documentatie, validatierapport, logging, besluitvorming</w:t>
            </w:r>
          </w:p>
        </w:tc>
      </w:tr>
    </w:tbl>
    <w:p>
      <w:pPr>
        <w:spacing w:after="140"/>
      </w:pPr>
      <w:r>
        <w:t xml:space="preserve"/>
      </w:r>
    </w:p>
    <w:p>
      <w:pPr>
        <w:spacing w:after="140" w:line="288"/>
      </w:pPr>
      <w:r>
        <w:rPr>
          <w:rFonts w:ascii="Calibri" w:cs="Calibri" w:eastAsia="Calibri" w:hAnsi="Calibri"/>
          <w:color w:val="0E1A1C"/>
          <w:sz w:val="21"/>
          <w:szCs w:val="21"/>
        </w:rPr>
        <w:t xml:space="preserve">De eerste rij is de moeilijkste en wordt het vaakst technisch beantwoord. Een deelnemer heeft niets aan een lijst met factorgewichten; hij heeft een reden nodig die klopt en waar hij iets mee kan. Als die reden niet te geven is, is dat een aanwijzing dat het model hier niet passend is — niet dat de uitleg beter moet.</w:t>
      </w:r>
    </w:p>
    <w:p>
      <w:pPr>
        <w:pStyle w:val="Heading1"/>
        <w:spacing w:after="200" w:before="420"/>
      </w:pPr>
      <w:r>
        <w:rPr>
          <w:rFonts w:ascii="Cambria" w:cs="Cambria" w:eastAsia="Cambria" w:hAnsi="Cambria"/>
          <w:b/>
          <w:bCs/>
          <w:color w:val="1B4A48"/>
          <w:sz w:val="34"/>
          <w:szCs w:val="34"/>
        </w:rPr>
        <w:t xml:space="preserve">6. Monitoring en drift</w:t>
      </w:r>
    </w:p>
    <w:p>
      <w:pPr>
        <w:spacing w:after="140" w:line="288"/>
      </w:pPr>
      <w:r>
        <w:rPr>
          <w:rFonts w:ascii="Calibri" w:cs="Calibri" w:eastAsia="Calibri" w:hAnsi="Calibri"/>
          <w:color w:val="0E1A1C"/>
          <w:sz w:val="21"/>
          <w:szCs w:val="21"/>
        </w:rPr>
        <w:t xml:space="preserve">Modellen verslechteren zonder dat er iets aan het model verandert, omdat de werkelijkheid verandert. Drie soorten drift, met verschillende signalen.</w:t>
      </w:r>
    </w:p>
    <w:p>
      <w:pPr>
        <w:pStyle w:val="ListParagraph"/>
        <w:numPr>
          <w:ilvl w:val="0"/>
          <w:numId w:val="3"/>
        </w:numPr>
        <w:spacing w:after="70" w:line="280"/>
      </w:pPr>
      <w:r>
        <w:rPr>
          <w:rFonts w:ascii="Calibri" w:cs="Calibri" w:eastAsia="Calibri" w:hAnsi="Calibri"/>
          <w:color w:val="0E1A1C"/>
          <w:sz w:val="21"/>
          <w:szCs w:val="21"/>
        </w:rPr>
        <w:t xml:space="preserve">Datadrift: de invoer verandert van samenstelling. De verdeling van leeftijden schuift, of er komt een nieuwe sector bij. Zichtbaar zonder dat je de uitkomst kent.</w:t>
      </w:r>
    </w:p>
    <w:p>
      <w:pPr>
        <w:pStyle w:val="ListParagraph"/>
        <w:numPr>
          <w:ilvl w:val="0"/>
          <w:numId w:val="3"/>
        </w:numPr>
        <w:spacing w:after="70" w:line="280"/>
      </w:pPr>
      <w:r>
        <w:rPr>
          <w:rFonts w:ascii="Calibri" w:cs="Calibri" w:eastAsia="Calibri" w:hAnsi="Calibri"/>
          <w:color w:val="0E1A1C"/>
          <w:sz w:val="21"/>
          <w:szCs w:val="21"/>
        </w:rPr>
        <w:t xml:space="preserve">Conceptdrift: de relatie tussen invoer en uitkomst verandert. Wat vroeger een voorspeller was, is dat niet meer. Alleen zichtbaar als je de werkelijke uitkomsten terugkoppelt.</w:t>
      </w:r>
    </w:p>
    <w:p>
      <w:pPr>
        <w:pStyle w:val="ListParagraph"/>
        <w:numPr>
          <w:ilvl w:val="0"/>
          <w:numId w:val="3"/>
        </w:numPr>
        <w:spacing w:after="70" w:line="280"/>
      </w:pPr>
      <w:r>
        <w:rPr>
          <w:rFonts w:ascii="Calibri" w:cs="Calibri" w:eastAsia="Calibri" w:hAnsi="Calibri"/>
          <w:color w:val="0E1A1C"/>
          <w:sz w:val="21"/>
          <w:szCs w:val="21"/>
        </w:rPr>
        <w:t xml:space="preserve">Prestatiedrift: het model doet het aantoonbaar slechter. Dit is het gevolg, niet de oorzaak — en het is het laatste dat je merkt.</w:t>
      </w:r>
    </w:p>
    <w:p>
      <w:pPr>
        <w:spacing w:after="140" w:line="288"/>
      </w:pPr>
      <w:r>
        <w:rPr>
          <w:rFonts w:ascii="Calibri" w:cs="Calibri" w:eastAsia="Calibri" w:hAnsi="Calibri"/>
          <w:color w:val="0E1A1C"/>
          <w:sz w:val="21"/>
          <w:szCs w:val="21"/>
        </w:rPr>
        <w:t xml:space="preserve">De praktische consequentie is dat je terugkoppeling nodig hebt: zonder de werkelijke uitkomsten kun je alleen datadrift zien, en dat is het zwakste signaal. Regel de terugkoppellus bij het ontwerp, niet bij het eerste incident.</w:t>
      </w:r>
    </w:p>
    <w:p>
      <w:pPr>
        <w:pStyle w:val="Heading3"/>
        <w:spacing w:after="100" w:before="240"/>
      </w:pPr>
      <w:r>
        <w:rPr>
          <w:rFonts w:ascii="Calibri" w:cs="Calibri" w:eastAsia="Calibri" w:hAnsi="Calibri"/>
          <w:b/>
          <w:bCs/>
          <w:color w:val="3F7D74"/>
          <w:sz w:val="22"/>
          <w:szCs w:val="22"/>
        </w:rPr>
        <w:t xml:space="preserve">Wat een bruikbaar driftrapport bevat</w:t>
      </w:r>
    </w:p>
    <w:p>
      <w:pPr>
        <w:pStyle w:val="ListParagraph"/>
        <w:numPr>
          <w:ilvl w:val="0"/>
          <w:numId w:val="4"/>
        </w:numPr>
        <w:spacing w:after="70" w:line="280"/>
      </w:pPr>
      <w:r>
        <w:rPr>
          <w:rFonts w:ascii="Calibri" w:cs="Calibri" w:eastAsia="Calibri" w:hAnsi="Calibri"/>
          <w:color w:val="0E1A1C"/>
          <w:sz w:val="21"/>
          <w:szCs w:val="21"/>
        </w:rPr>
        <w:t xml:space="preserve">De verdeling van de invoer nu tegenover die bij training, per belangrijk kenmerk.</w:t>
      </w:r>
    </w:p>
    <w:p>
      <w:pPr>
        <w:pStyle w:val="ListParagraph"/>
        <w:numPr>
          <w:ilvl w:val="0"/>
          <w:numId w:val="4"/>
        </w:numPr>
        <w:spacing w:after="70" w:line="280"/>
      </w:pPr>
      <w:r>
        <w:rPr>
          <w:rFonts w:ascii="Calibri" w:cs="Calibri" w:eastAsia="Calibri" w:hAnsi="Calibri"/>
          <w:color w:val="0E1A1C"/>
          <w:sz w:val="21"/>
          <w:szCs w:val="21"/>
        </w:rPr>
        <w:t xml:space="preserve">De prestatie over tijd, met de drempel waaronder ingrijpen nodig is.</w:t>
      </w:r>
    </w:p>
    <w:p>
      <w:pPr>
        <w:pStyle w:val="ListParagraph"/>
        <w:numPr>
          <w:ilvl w:val="0"/>
          <w:numId w:val="4"/>
        </w:numPr>
        <w:spacing w:after="70" w:line="280"/>
      </w:pPr>
      <w:r>
        <w:rPr>
          <w:rFonts w:ascii="Calibri" w:cs="Calibri" w:eastAsia="Calibri" w:hAnsi="Calibri"/>
          <w:color w:val="0E1A1C"/>
          <w:sz w:val="21"/>
          <w:szCs w:val="21"/>
        </w:rPr>
        <w:t xml:space="preserve">De prestatie per relevante groep, niet alleen totaal.</w:t>
      </w:r>
    </w:p>
    <w:p>
      <w:pPr>
        <w:pStyle w:val="ListParagraph"/>
        <w:numPr>
          <w:ilvl w:val="0"/>
          <w:numId w:val="4"/>
        </w:numPr>
        <w:spacing w:after="70" w:line="280"/>
      </w:pPr>
      <w:r>
        <w:rPr>
          <w:rFonts w:ascii="Calibri" w:cs="Calibri" w:eastAsia="Calibri" w:hAnsi="Calibri"/>
          <w:color w:val="0E1A1C"/>
          <w:sz w:val="21"/>
          <w:szCs w:val="21"/>
        </w:rPr>
        <w:t xml:space="preserve">Het aandeel gevallen waarin de mens van het model afweek — dat is een vroeg signaal dat medewerkers het vertrouwen verliezen.</w:t>
      </w:r>
    </w:p>
    <w:p>
      <w:pPr>
        <w:pStyle w:val="ListParagraph"/>
        <w:numPr>
          <w:ilvl w:val="0"/>
          <w:numId w:val="4"/>
        </w:numPr>
        <w:spacing w:after="70" w:line="280"/>
      </w:pPr>
      <w:r>
        <w:rPr>
          <w:rFonts w:ascii="Calibri" w:cs="Calibri" w:eastAsia="Calibri" w:hAnsi="Calibri"/>
          <w:color w:val="0E1A1C"/>
          <w:sz w:val="21"/>
          <w:szCs w:val="21"/>
        </w:rPr>
        <w:t xml:space="preserve">De datum van de laatste hertraining en de eerstvolgende geplande beoordeling.</w:t>
      </w:r>
    </w:p>
    <w:p>
      <w:pPr>
        <w:pStyle w:val="Heading1"/>
        <w:spacing w:after="200" w:before="420"/>
      </w:pPr>
      <w:r>
        <w:rPr>
          <w:rFonts w:ascii="Cambria" w:cs="Cambria" w:eastAsia="Cambria" w:hAnsi="Cambria"/>
          <w:b/>
          <w:bCs/>
          <w:color w:val="1B4A48"/>
          <w:sz w:val="34"/>
          <w:szCs w:val="34"/>
        </w:rPr>
        <w:t xml:space="preserve">7. Taalmodellen en RAG</w:t>
      </w:r>
    </w:p>
    <w:p>
      <w:pPr>
        <w:spacing w:after="140" w:line="288"/>
      </w:pPr>
      <w:r>
        <w:rPr>
          <w:rFonts w:ascii="Calibri" w:cs="Calibri" w:eastAsia="Calibri" w:hAnsi="Calibri"/>
          <w:color w:val="0E1A1C"/>
          <w:sz w:val="21"/>
          <w:szCs w:val="21"/>
        </w:rPr>
        <w:t xml:space="preserve">Een retrieval-augmented generation-opstelling zoekt relevante documenten en geeft die mee aan een taalmodel. Dat is krachtig en het introduceert datarisico’s die bij klassieke modellen niet spelen.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600"/>
        <w:gridCol w:w="35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Risico</w:t>
            </w:r>
          </w:p>
        </w:tc>
        <w:tc>
          <w:tcPr>
            <w:tcW w:type="dxa" w:w="3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misgaat</w:t>
            </w:r>
          </w:p>
        </w:tc>
        <w:tc>
          <w:tcPr>
            <w:tcW w:type="dxa" w:w="3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Maatregel</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Toegangslek via retrieval</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zoeklaag haalt documenten op waar de vrager geen recht op heeft</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Autorisatie toepassen op de zoeklaag, niet alleen op de bron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Onbedoelde retentie</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Vragen en documenten worden bewaard bij de leverancier</w:t>
            </w:r>
          </w:p>
        </w:tc>
        <w:tc>
          <w:tcPr>
            <w:tcW w:type="dxa" w:w="3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Retentieafspraak in het contract, en toetsen of hij wordt nageleefd</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Onjuiste toeschrijving</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model presenteert een verzonnen antwoord als afkomstig uit een document</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Bronvermelding afdwingen en steekproefsgewijs verifiëren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Aggregatielek</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Losse fragmenten zijn onschuldig, samen herleidbaar tot een persoon</w:t>
            </w:r>
          </w:p>
        </w:tc>
        <w:tc>
          <w:tcPr>
            <w:tcW w:type="dxa" w:w="3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Minimale groepsgrootte ook toepassen op de zoekresultaten</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Promptlek</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Gevoelige informatie belandt in de vraag zelf</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Voorlichting plus technische filtering; verbieden werkt niet</w:t>
            </w:r>
          </w:p>
        </w:tc>
      </w:tr>
    </w:tbl>
    <w:p>
      <w:pPr>
        <w:spacing w:after="140"/>
      </w:pPr>
      <w:r>
        <w:t xml:space="preserve"/>
      </w:r>
    </w:p>
    <w:p>
      <w:pPr>
        <w:spacing w:after="140" w:line="288"/>
      </w:pPr>
      <w:r>
        <w:rPr>
          <w:rFonts w:ascii="Calibri" w:cs="Calibri" w:eastAsia="Calibri" w:hAnsi="Calibri"/>
          <w:color w:val="0E1A1C"/>
          <w:sz w:val="21"/>
          <w:szCs w:val="21"/>
        </w:rPr>
        <w:t xml:space="preserve">Het eerste risico is het meest onderschatte en het meest voorkomende. Wie de autorisatie alleen op het bronsysteem regelt en de zoeklaag daar een eigen kopie van laat maken, heeft een systeem gebouwd dat iedereen alles laat lezen — met een vriendelijke interface eromheen. Dat is dezelfde fout als het toegangsmodel uit deel 17, nu op een plek waar niemand hem verwacht.</w:t>
      </w:r>
    </w:p>
    <w:p>
      <w:r>
        <w:br w:type="page"/>
      </w:r>
    </w:p>
    <w:p>
      <w:pPr>
        <w:pStyle w:val="Heading1"/>
        <w:spacing w:after="200" w:before="420"/>
      </w:pPr>
      <w:r>
        <w:rPr>
          <w:rFonts w:ascii="Cambria" w:cs="Cambria" w:eastAsia="Cambria" w:hAnsi="Cambria"/>
          <w:b/>
          <w:bCs/>
          <w:color w:val="1B4A48"/>
          <w:sz w:val="34"/>
          <w:szCs w:val="34"/>
        </w:rPr>
        <w:t xml:space="preserve">8. Het gate-proces</w:t>
      </w:r>
    </w:p>
    <w:p>
      <w:pPr>
        <w:spacing w:after="140" w:line="288"/>
      </w:pPr>
      <w:r>
        <w:rPr>
          <w:rFonts w:ascii="Calibri" w:cs="Calibri" w:eastAsia="Calibri" w:hAnsi="Calibri"/>
          <w:color w:val="0E1A1C"/>
          <w:sz w:val="21"/>
          <w:szCs w:val="21"/>
        </w:rPr>
        <w:t xml:space="preserve">Een gate-proces zorgt dat een model niet in productie komt zonder besluit. Drie poorten volstaan; meer levert vertraging op zonder extra beheersing.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2200"/>
        <w:gridCol w:w="3400"/>
        <w:gridCol w:w="15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Poort</w:t>
            </w:r>
          </w:p>
        </w:tc>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wordt getoetst</w:t>
            </w:r>
          </w:p>
        </w:tc>
        <w:tc>
          <w:tcPr>
            <w:tcW w:type="dxa" w:w="1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Wie besluit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Poort 1 — mag dit</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Vóór de dataverzameling</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Grondslag, risicoclassificatie, of een model het passende middel is</w:t>
            </w:r>
          </w:p>
        </w:tc>
        <w:tc>
          <w:tcPr>
            <w:tcW w:type="dxa" w:w="1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Proceseigenaar met advies van de FG</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Poort 2 — deugt dit</w:t>
            </w:r>
          </w:p>
        </w:tc>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Vóór acceptatie</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Validatie, bias per groep, uitlegbaarheid, documentatie</w:t>
            </w:r>
          </w:p>
        </w:tc>
        <w:tc>
          <w:tcPr>
            <w:tcW w:type="dxa" w:w="1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Onafhankelijke validator plus verantwoordelijke</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Poort 3 — blijft dit deugen</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Periodiek, minimaal jaarlijks</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Drift, prestatie per groep, afwijkgedrag, uitfaseringsvoorwaarde</w:t>
            </w:r>
          </w:p>
        </w:tc>
        <w:tc>
          <w:tcPr>
            <w:tcW w:type="dxa" w:w="1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Modeleigenaar, met escalatie</w:t>
            </w:r>
          </w:p>
        </w:tc>
      </w:tr>
    </w:tbl>
    <w:p>
      <w:pPr>
        <w:spacing w:after="140"/>
      </w:pPr>
      <w:r>
        <w:t xml:space="preserve"/>
      </w:r>
    </w:p>
    <w:p>
      <w:pPr>
        <w:spacing w:after="140" w:line="288"/>
      </w:pPr>
      <w:r>
        <w:rPr>
          <w:rFonts w:ascii="Calibri" w:cs="Calibri" w:eastAsia="Calibri" w:hAnsi="Calibri"/>
          <w:color w:val="0E1A1C"/>
          <w:sz w:val="21"/>
          <w:szCs w:val="21"/>
        </w:rPr>
        <w:t xml:space="preserve">De derde poort is de enige die zichzelf niet afdwingt: de eerste twee liggen in het pad naar productie, de derde niet. Zonder een agendapunt met een eigenaar wordt hij het eerste jaar gehaald en daarna niet meer. Dat is de belangrijkste ontwerpvraag van het hele proces.</w:t>
      </w:r>
    </w:p>
    <w:p>
      <w:pPr>
        <w:pStyle w:val="Heading3"/>
        <w:spacing w:after="100" w:before="240"/>
      </w:pPr>
      <w:r>
        <w:rPr>
          <w:rFonts w:ascii="Calibri" w:cs="Calibri" w:eastAsia="Calibri" w:hAnsi="Calibri"/>
          <w:b/>
          <w:bCs/>
          <w:color w:val="3F7D74"/>
          <w:sz w:val="22"/>
          <w:szCs w:val="22"/>
        </w:rPr>
        <w:t xml:space="preserve">Wat een modelregister bevat</w:t>
      </w:r>
    </w:p>
    <w:p>
      <w:pPr>
        <w:pStyle w:val="ListParagraph"/>
        <w:numPr>
          <w:ilvl w:val="0"/>
          <w:numId w:val="3"/>
        </w:numPr>
        <w:spacing w:after="70" w:line="280"/>
      </w:pPr>
      <w:r>
        <w:rPr>
          <w:rFonts w:ascii="Calibri" w:cs="Calibri" w:eastAsia="Calibri" w:hAnsi="Calibri"/>
          <w:color w:val="0E1A1C"/>
          <w:sz w:val="21"/>
          <w:szCs w:val="21"/>
        </w:rPr>
        <w:t xml:space="preserve">Doel, eigenaar, en de datum van acceptatie met de naam van wie tekende.</w:t>
      </w:r>
    </w:p>
    <w:p>
      <w:pPr>
        <w:pStyle w:val="ListParagraph"/>
        <w:numPr>
          <w:ilvl w:val="0"/>
          <w:numId w:val="3"/>
        </w:numPr>
        <w:spacing w:after="70" w:line="280"/>
      </w:pPr>
      <w:r>
        <w:rPr>
          <w:rFonts w:ascii="Calibri" w:cs="Calibri" w:eastAsia="Calibri" w:hAnsi="Calibri"/>
          <w:color w:val="0E1A1C"/>
          <w:sz w:val="21"/>
          <w:szCs w:val="21"/>
        </w:rPr>
        <w:t xml:space="preserve">De risicoclassificatie en de onderbouwing daarvan.</w:t>
      </w:r>
    </w:p>
    <w:p>
      <w:pPr>
        <w:pStyle w:val="ListParagraph"/>
        <w:numPr>
          <w:ilvl w:val="0"/>
          <w:numId w:val="3"/>
        </w:numPr>
        <w:spacing w:after="70" w:line="280"/>
      </w:pPr>
      <w:r>
        <w:rPr>
          <w:rFonts w:ascii="Calibri" w:cs="Calibri" w:eastAsia="Calibri" w:hAnsi="Calibri"/>
          <w:color w:val="0E1A1C"/>
          <w:sz w:val="21"/>
          <w:szCs w:val="21"/>
        </w:rPr>
        <w:t xml:space="preserve">De gekozen fairnessmaat en wie die keuze maakte.</w:t>
      </w:r>
    </w:p>
    <w:p>
      <w:pPr>
        <w:pStyle w:val="ListParagraph"/>
        <w:numPr>
          <w:ilvl w:val="0"/>
          <w:numId w:val="3"/>
        </w:numPr>
        <w:spacing w:after="70" w:line="280"/>
      </w:pPr>
      <w:r>
        <w:rPr>
          <w:rFonts w:ascii="Calibri" w:cs="Calibri" w:eastAsia="Calibri" w:hAnsi="Calibri"/>
          <w:color w:val="0E1A1C"/>
          <w:sz w:val="21"/>
          <w:szCs w:val="21"/>
        </w:rPr>
        <w:t xml:space="preserve">De prestatiedrempel waaronder wordt ingegrepen.</w:t>
      </w:r>
    </w:p>
    <w:p>
      <w:pPr>
        <w:pStyle w:val="ListParagraph"/>
        <w:numPr>
          <w:ilvl w:val="0"/>
          <w:numId w:val="3"/>
        </w:numPr>
        <w:spacing w:after="70" w:line="280"/>
      </w:pPr>
      <w:r>
        <w:rPr>
          <w:rFonts w:ascii="Calibri" w:cs="Calibri" w:eastAsia="Calibri" w:hAnsi="Calibri"/>
          <w:color w:val="0E1A1C"/>
          <w:sz w:val="21"/>
          <w:szCs w:val="21"/>
        </w:rPr>
        <w:t xml:space="preserve">De laatste beoordeling en de eerstvolgende geplande.</w:t>
      </w:r>
    </w:p>
    <w:p>
      <w:pPr>
        <w:pStyle w:val="ListParagraph"/>
        <w:numPr>
          <w:ilvl w:val="0"/>
          <w:numId w:val="3"/>
        </w:numPr>
        <w:spacing w:after="70" w:line="280"/>
      </w:pPr>
      <w:r>
        <w:rPr>
          <w:rFonts w:ascii="Calibri" w:cs="Calibri" w:eastAsia="Calibri" w:hAnsi="Calibri"/>
          <w:color w:val="0E1A1C"/>
          <w:sz w:val="21"/>
          <w:szCs w:val="21"/>
        </w:rPr>
        <w:t xml:space="preserve">De uitfaseringsvoorwaarde.</w:t>
      </w:r>
    </w:p>
    <w:p>
      <w:pPr>
        <w:pStyle w:val="Heading1"/>
        <w:spacing w:after="200" w:before="420"/>
      </w:pPr>
      <w:r>
        <w:rPr>
          <w:rFonts w:ascii="Cambria" w:cs="Cambria" w:eastAsia="Cambria" w:hAnsi="Cambria"/>
          <w:b/>
          <w:bCs/>
          <w:color w:val="1B4A48"/>
          <w:sz w:val="34"/>
          <w:szCs w:val="34"/>
        </w:rPr>
        <w:t xml:space="preserve">9. De verhouding tot datagovernance</w:t>
      </w:r>
    </w:p>
    <w:p>
      <w:pPr>
        <w:spacing w:after="140" w:line="288"/>
      </w:pPr>
      <w:r>
        <w:rPr>
          <w:rFonts w:ascii="Calibri" w:cs="Calibri" w:eastAsia="Calibri" w:hAnsi="Calibri"/>
          <w:color w:val="0E1A1C"/>
          <w:sz w:val="21"/>
          <w:szCs w:val="21"/>
        </w:rPr>
        <w:t xml:space="preserve">AI-governance wordt vaak als een aparte discipline opgetuigd, met een eigen board en een eigen beleid. Dat is begrijpelijk en zelden verstandig: het levert een tweede governancestructuur op die om dezelfde vragen draait.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000"/>
        <w:gridCol w:w="2800"/>
        <w:gridCol w:w="3220"/>
      </w:tblGrid>
      <w:tr>
        <w:trPr>
          <w:tblHeader/>
        </w:trPr>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2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Wie beantwoordt hem</w:t>
            </w:r>
          </w:p>
        </w:tc>
        <w:tc>
          <w:tcPr>
            <w:tcW w:type="dxa" w:w="32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 hij thuishoort</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deze data hiervoor worden gebruikt?</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owner en FG</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Datagovernance — deel 16 en 17</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Klopt de definitie van de doelvariabele?</w:t>
            </w:r>
          </w:p>
        </w:tc>
        <w:tc>
          <w:tcPr>
            <w:tcW w:type="dxa" w:w="2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owner</w:t>
            </w:r>
          </w:p>
        </w:tc>
        <w:tc>
          <w:tcPr>
            <w:tcW w:type="dxa" w:w="3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Begrippenkader — deel 13</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de trainingsdata van voldoende kwaliteit?</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Steward</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Kwaliteitsproces — deel 15</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dit model passend en beheerst?</w:t>
            </w:r>
          </w:p>
        </w:tc>
        <w:tc>
          <w:tcPr>
            <w:tcW w:type="dxa" w:w="2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Validator en verantwoordelijke</w:t>
            </w:r>
          </w:p>
        </w:tc>
        <w:tc>
          <w:tcPr>
            <w:tcW w:type="dxa" w:w="3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AI-governance — hier</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Blijft het presteren?</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Modeleigenaar</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AI-governance — hier</w:t>
            </w:r>
          </w:p>
        </w:tc>
      </w:tr>
    </w:tbl>
    <w:p>
      <w:pPr>
        <w:spacing w:after="140"/>
      </w:pPr>
      <w:r>
        <w:t xml:space="preserve"/>
      </w:r>
    </w:p>
    <w:p>
      <w:pPr>
        <w:spacing w:after="140" w:line="288"/>
      </w:pPr>
      <w:r>
        <w:rPr>
          <w:rFonts w:ascii="Calibri" w:cs="Calibri" w:eastAsia="Calibri" w:hAnsi="Calibri"/>
          <w:color w:val="0E1A1C"/>
          <w:sz w:val="21"/>
          <w:szCs w:val="21"/>
        </w:rPr>
        <w:t xml:space="preserve">Drie van de vijf vragen horen bij bestaande gremia. De verstandige inrichting voegt dus geen board toe maar breidt de besluitrechtenmatrix uit deel 16 uit met de modelbesluiten, en belegt de twee eigen vragen bij een validatiefunctie. Dat is dezelfde redenering als bij "geen nieuwe overlegstructuren" uit deel 21 — en zij houdt hier net zo goed stand.</w:t>
      </w:r>
    </w:p>
    <w:p>
      <w:pPr>
        <w:pStyle w:val="Heading1"/>
        <w:spacing w:after="200" w:before="420"/>
      </w:pPr>
      <w:r>
        <w:rPr>
          <w:rFonts w:ascii="Cambria" w:cs="Cambria" w:eastAsia="Cambria" w:hAnsi="Cambria"/>
          <w:b/>
          <w:bCs/>
          <w:color w:val="1B4A48"/>
          <w:sz w:val="34"/>
          <w:szCs w:val="34"/>
        </w:rPr>
        <w:t xml:space="preserve">10. Vijf fouten op dit niveau</w:t>
      </w:r>
    </w:p>
    <w:p>
      <w:pPr>
        <w:pStyle w:val="ListParagraph"/>
        <w:numPr>
          <w:ilvl w:val="0"/>
          <w:numId w:val="5"/>
        </w:numPr>
        <w:spacing w:after="70" w:line="280"/>
      </w:pPr>
      <w:r>
        <w:rPr>
          <w:rFonts w:ascii="Calibri" w:cs="Calibri" w:eastAsia="Calibri" w:hAnsi="Calibri"/>
          <w:color w:val="0E1A1C"/>
          <w:sz w:val="21"/>
          <w:szCs w:val="21"/>
        </w:rPr>
        <w:t xml:space="preserve">De inventarisatie beperken tot wat AI heet, waardoor het merendeel van de toepassingen buiten beeld blijft.</w:t>
      </w:r>
    </w:p>
    <w:p>
      <w:pPr>
        <w:pStyle w:val="ListParagraph"/>
        <w:numPr>
          <w:ilvl w:val="0"/>
          <w:numId w:val="5"/>
        </w:numPr>
        <w:spacing w:after="70" w:line="280"/>
      </w:pPr>
      <w:r>
        <w:rPr>
          <w:rFonts w:ascii="Calibri" w:cs="Calibri" w:eastAsia="Calibri" w:hAnsi="Calibri"/>
          <w:color w:val="0E1A1C"/>
          <w:sz w:val="21"/>
          <w:szCs w:val="21"/>
        </w:rPr>
        <w:t xml:space="preserve">Een fairnessmaat kiezen op technische gronden in plaats van hem als normatieve keuze aan de verantwoordelijke voorleggen.</w:t>
      </w:r>
    </w:p>
    <w:p>
      <w:pPr>
        <w:pStyle w:val="ListParagraph"/>
        <w:numPr>
          <w:ilvl w:val="0"/>
          <w:numId w:val="5"/>
        </w:numPr>
        <w:spacing w:after="70" w:line="280"/>
      </w:pPr>
      <w:r>
        <w:rPr>
          <w:rFonts w:ascii="Calibri" w:cs="Calibri" w:eastAsia="Calibri" w:hAnsi="Calibri"/>
          <w:color w:val="0E1A1C"/>
          <w:sz w:val="21"/>
          <w:szCs w:val="21"/>
        </w:rPr>
        <w:t xml:space="preserve">Alleen datadrift monitoren omdat de terugkoppellus ontbreekt.</w:t>
      </w:r>
    </w:p>
    <w:p>
      <w:pPr>
        <w:pStyle w:val="ListParagraph"/>
        <w:numPr>
          <w:ilvl w:val="0"/>
          <w:numId w:val="5"/>
        </w:numPr>
        <w:spacing w:after="70" w:line="280"/>
      </w:pPr>
      <w:r>
        <w:rPr>
          <w:rFonts w:ascii="Calibri" w:cs="Calibri" w:eastAsia="Calibri" w:hAnsi="Calibri"/>
          <w:color w:val="0E1A1C"/>
          <w:sz w:val="21"/>
          <w:szCs w:val="21"/>
        </w:rPr>
        <w:t xml:space="preserve">Autorisatie in een RAG-opstelling alleen op de bron regelen en niet op de zoeklaag.</w:t>
      </w:r>
    </w:p>
    <w:p>
      <w:pPr>
        <w:pStyle w:val="ListParagraph"/>
        <w:numPr>
          <w:ilvl w:val="0"/>
          <w:numId w:val="5"/>
        </w:numPr>
        <w:spacing w:after="70" w:line="280"/>
      </w:pPr>
      <w:r>
        <w:rPr>
          <w:rFonts w:ascii="Calibri" w:cs="Calibri" w:eastAsia="Calibri" w:hAnsi="Calibri"/>
          <w:color w:val="0E1A1C"/>
          <w:sz w:val="21"/>
          <w:szCs w:val="21"/>
        </w:rPr>
        <w:t xml:space="preserve">Een aparte AI-governancestructuur optuigen naast de bestaande datagovernance.</w:t>
      </w:r>
    </w:p>
    <w:p>
      <w:pPr>
        <w:pStyle w:val="Heading1"/>
        <w:spacing w:after="200" w:before="420"/>
      </w:pPr>
      <w:r>
        <w:rPr>
          <w:rFonts w:ascii="Cambria" w:cs="Cambria" w:eastAsia="Cambria" w:hAnsi="Cambria"/>
          <w:b/>
          <w:bCs/>
          <w:color w:val="1B4A48"/>
          <w:sz w:val="34"/>
          <w:szCs w:val="34"/>
        </w:rPr>
        <w:t xml:space="preserve">11. Examenrelevantie</w:t>
      </w:r>
    </w:p>
    <w:p>
      <w:pPr>
        <w:spacing w:after="140" w:line="288"/>
      </w:pPr>
      <w:r>
        <w:rPr>
          <w:rFonts w:ascii="Calibri" w:cs="Calibri" w:eastAsia="Calibri" w:hAnsi="Calibri"/>
          <w:color w:val="0E1A1C"/>
          <w:sz w:val="21"/>
          <w:szCs w:val="21"/>
        </w:rPr>
        <w:t xml:space="preserve">Dit deel is de kern van de voorbereiding op de IAPP AIGP en raakt daarnaast het CDMP-kennisgebied Big Data &amp; Data Science. De AIGP toetst governance van AI over de hele levensloop, met aandacht voor de Europese verordening.</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3"/>
        </w:numPr>
        <w:spacing w:after="70" w:line="280"/>
      </w:pPr>
      <w:r>
        <w:rPr>
          <w:rFonts w:ascii="Calibri" w:cs="Calibri" w:eastAsia="Calibri" w:hAnsi="Calibri"/>
          <w:color w:val="0E1A1C"/>
          <w:sz w:val="21"/>
          <w:szCs w:val="21"/>
        </w:rPr>
        <w:t xml:space="preserve">De modellevensloop en de governancevraag per fase.</w:t>
      </w:r>
    </w:p>
    <w:p>
      <w:pPr>
        <w:pStyle w:val="ListParagraph"/>
        <w:numPr>
          <w:ilvl w:val="0"/>
          <w:numId w:val="3"/>
        </w:numPr>
        <w:spacing w:after="70" w:line="280"/>
      </w:pPr>
      <w:r>
        <w:rPr>
          <w:rFonts w:ascii="Calibri" w:cs="Calibri" w:eastAsia="Calibri" w:hAnsi="Calibri"/>
          <w:color w:val="0E1A1C"/>
          <w:sz w:val="21"/>
          <w:szCs w:val="21"/>
        </w:rPr>
        <w:t xml:space="preserve">Risicoclassificatie en de verplichtingen die per categorie volgen.</w:t>
      </w:r>
    </w:p>
    <w:p>
      <w:pPr>
        <w:pStyle w:val="ListParagraph"/>
        <w:numPr>
          <w:ilvl w:val="0"/>
          <w:numId w:val="3"/>
        </w:numPr>
        <w:spacing w:after="70" w:line="280"/>
      </w:pPr>
      <w:r>
        <w:rPr>
          <w:rFonts w:ascii="Calibri" w:cs="Calibri" w:eastAsia="Calibri" w:hAnsi="Calibri"/>
          <w:color w:val="0E1A1C"/>
          <w:sz w:val="21"/>
          <w:szCs w:val="21"/>
        </w:rPr>
        <w:t xml:space="preserve">Bias en fairness: de maten, en waarom ze niet gelijktijdig haalbaar zijn.</w:t>
      </w:r>
    </w:p>
    <w:p>
      <w:pPr>
        <w:pStyle w:val="ListParagraph"/>
        <w:numPr>
          <w:ilvl w:val="0"/>
          <w:numId w:val="3"/>
        </w:numPr>
        <w:spacing w:after="70" w:line="280"/>
      </w:pPr>
      <w:r>
        <w:rPr>
          <w:rFonts w:ascii="Calibri" w:cs="Calibri" w:eastAsia="Calibri" w:hAnsi="Calibri"/>
          <w:color w:val="0E1A1C"/>
          <w:sz w:val="21"/>
          <w:szCs w:val="21"/>
        </w:rPr>
        <w:t xml:space="preserve">Uitlegbaarheid gedifferentieerd naar publiek.</w:t>
      </w:r>
    </w:p>
    <w:p>
      <w:pPr>
        <w:pStyle w:val="ListParagraph"/>
        <w:numPr>
          <w:ilvl w:val="0"/>
          <w:numId w:val="3"/>
        </w:numPr>
        <w:spacing w:after="70" w:line="280"/>
      </w:pPr>
      <w:r>
        <w:rPr>
          <w:rFonts w:ascii="Calibri" w:cs="Calibri" w:eastAsia="Calibri" w:hAnsi="Calibri"/>
          <w:color w:val="0E1A1C"/>
          <w:sz w:val="21"/>
          <w:szCs w:val="21"/>
        </w:rPr>
        <w:t xml:space="preserve">Menselijk toezicht en de route naar bezwaar.</w:t>
      </w:r>
    </w:p>
    <w:p>
      <w:pPr>
        <w:pStyle w:val="ListParagraph"/>
        <w:numPr>
          <w:ilvl w:val="0"/>
          <w:numId w:val="3"/>
        </w:numPr>
        <w:spacing w:after="70" w:line="280"/>
      </w:pPr>
      <w:r>
        <w:rPr>
          <w:rFonts w:ascii="Calibri" w:cs="Calibri" w:eastAsia="Calibri" w:hAnsi="Calibri"/>
          <w:color w:val="0E1A1C"/>
          <w:sz w:val="21"/>
          <w:szCs w:val="21"/>
        </w:rPr>
        <w:t xml:space="preserve">Engels: model risk management, model card, drift, explainability, human oversight, conformity assessment.</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Voor de AIGP: de body of knowledge, het exam blueprint en het certificeringshandboek van IAPP op iapp.org/certify/aigp. De examenstof is per februari 2026 uitgebreid; controleer de actuele versie.</w:t>
            </w:r>
          </w:p>
          <w:p>
            <w:pPr>
              <w:spacing w:after="60" w:line="280"/>
            </w:pPr>
            <w:r>
              <w:rPr>
                <w:rFonts w:ascii="Calibri" w:cs="Calibri" w:eastAsia="Calibri" w:hAnsi="Calibri"/>
                <w:color w:val="0E1A1C"/>
                <w:sz w:val="20"/>
                <w:szCs w:val="20"/>
              </w:rPr>
              <w:t xml:space="preserve">Voor de verordening: de geconsolideerde tekst en de toelichting van de Europese Commissie, plus de voorlichting van de nationale toezichthouder.</w:t>
            </w:r>
          </w:p>
          <w:p>
            <w:pPr>
              <w:spacing w:after="60" w:line="280"/>
            </w:pPr>
            <w:r>
              <w:rPr>
                <w:rFonts w:ascii="Calibri" w:cs="Calibri" w:eastAsia="Calibri" w:hAnsi="Calibri"/>
                <w:color w:val="0E1A1C"/>
                <w:sz w:val="20"/>
                <w:szCs w:val="20"/>
              </w:rPr>
              <w:t xml:space="preserve">Voor het CDMP: het hoofdstuk over big data and data science in de DAMA-DMBOK2 Revised Edition.</w:t>
            </w:r>
          </w:p>
          <w:p>
            <w:pPr>
              <w:spacing w:after="60" w:line="280"/>
            </w:pPr>
            <w:r>
              <w:rPr>
                <w:rFonts w:ascii="Calibri" w:cs="Calibri" w:eastAsia="Calibri" w:hAnsi="Calibri"/>
                <w:color w:val="0E1A1C"/>
                <w:sz w:val="20"/>
                <w:szCs w:val="20"/>
              </w:rPr>
              <w:t xml:space="preserve">Dit deel veroudert sneller dan de rest van de cursus. Behandel de inhoud als strekking en verifieer vóór elk advies.</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27 — AI- en modelgovernance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 modelgovernance — Deelnemersreader</dc:title>
  <dc:creator>Ductus B.V.</dc:creator>
  <dc:description>Cursusmateriaal datamanagement, data-analyse en data governance</dc:description>
  <cp:lastModifiedBy>Un-named</cp:lastModifiedBy>
  <cp:revision>1</cp:revision>
  <dcterms:created xsi:type="dcterms:W3CDTF">2026-08-05T13:16:18.179Z</dcterms:created>
  <dcterms:modified xsi:type="dcterms:W3CDTF">2026-08-05T13:16:18.179Z</dcterms:modified>
</cp:coreProperties>
</file>

<file path=docProps/custom.xml><?xml version="1.0" encoding="utf-8"?>
<Properties xmlns="http://schemas.openxmlformats.org/officeDocument/2006/custom-properties" xmlns:vt="http://schemas.openxmlformats.org/officeDocument/2006/docPropsVTypes"/>
</file>