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28</w:t>
      </w:r>
    </w:p>
    <w:p>
      <w:pPr>
        <w:spacing w:after="120"/>
      </w:pPr>
      <w:r>
        <w:rPr>
          <w:rFonts w:ascii="Cambria" w:cs="Cambria" w:eastAsia="Cambria" w:hAnsi="Cambria"/>
          <w:b/>
          <w:bCs/>
          <w:color w:val="0E1A1C"/>
          <w:sz w:val="56"/>
          <w:szCs w:val="56"/>
        </w:rPr>
        <w:t xml:space="preserve">Examentraining Master en causale analyse</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Proefexamen op 80%-niveau, causale dataset, beoordelingsformulier ervaringsdossier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28 gelezen; deel 18, 20 en 21 afgerond, met scorerapporten en het ervaringsdossier beschikbaar.</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causale uitspraak meegenomen. Vraag daarnaar bij binnenkomst; wie niets heeft, gebruikt een uitspraak uit een rapport dat hij heeft gelezen.</w:t>
      </w:r>
    </w:p>
    <w:p>
      <w:pPr>
        <w:pStyle w:val="ListParagraph"/>
        <w:numPr>
          <w:ilvl w:val="0"/>
          <w:numId w:val="2"/>
        </w:numPr>
        <w:spacing w:after="70" w:line="280"/>
      </w:pPr>
      <w:r>
        <w:rPr>
          <w:rFonts w:ascii="Calibri" w:cs="Calibri" w:eastAsia="Calibri" w:hAnsi="Calibri"/>
          <w:color w:val="0E1A1C"/>
          <w:sz w:val="21"/>
          <w:szCs w:val="21"/>
        </w:rPr>
        <w:t xml:space="preserve">Controleer de actuele eisen voor Master bij DAMA vóór de sessie; ze zijn de afgelopen jaren aangescherpt.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Een proefexamen van honderd vragen op de bovenste band: meer gecombineerde vragen over twee kennisgebieden, meer uitzonderingen op vuistregels, en minder letterlijk opzoekbare definities dan het proefexamen uit deel 9.</w:t>
      </w:r>
    </w:p>
    <w:p>
      <w:pPr>
        <w:pStyle w:val="ListParagraph"/>
        <w:numPr>
          <w:ilvl w:val="0"/>
          <w:numId w:val="2"/>
        </w:numPr>
        <w:spacing w:after="70" w:line="280"/>
      </w:pPr>
      <w:r>
        <w:rPr>
          <w:rFonts w:ascii="Calibri" w:cs="Calibri" w:eastAsia="Calibri" w:hAnsi="Calibri"/>
          <w:color w:val="0E1A1C"/>
          <w:sz w:val="21"/>
          <w:szCs w:val="21"/>
        </w:rPr>
        <w:t xml:space="preserve">De causale dataset: belgedrag per maand over drie jaar voor beide portefeuilles, met de portaaluitrol op verschillende momenten. Verwerk erin: een lichte voorafgaande divergentie die de parallelle-voorgeschiedenistoets net doorstaat, een keuzemenuwijziging in dezelfde maand voor de Meridiaan-groep, en het aantal ontvangen brieven als collider.</w:t>
      </w:r>
    </w:p>
    <w:p>
      <w:pPr>
        <w:pStyle w:val="ListParagraph"/>
        <w:numPr>
          <w:ilvl w:val="0"/>
          <w:numId w:val="2"/>
        </w:numPr>
        <w:spacing w:after="70" w:line="280"/>
      </w:pPr>
      <w:r>
        <w:rPr>
          <w:rFonts w:ascii="Calibri" w:cs="Calibri" w:eastAsia="Calibri" w:hAnsi="Calibri"/>
          <w:color w:val="0E1A1C"/>
          <w:sz w:val="21"/>
          <w:szCs w:val="21"/>
        </w:rPr>
        <w:t xml:space="preserve">Een beoordelingsformulier voor het ervaringsdossier met de vijf criteria uit hoofdstuk 3.</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deel combineert de laatste stap in de certificeringsroute met de analysevaardigheid die in deel 18 bewust is uitgesteld. Het is de voorbereiding op Master en op het analytische deel van de AIGP. Deel 29 is de masterproef; het dossier dat hier wordt afgerond, wordt daar aangevuld met het portfoliostuk.</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de tien punten zitten ergens anders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wie denkt dat het om tempo gaat; dat is bij Practitioner al opgelost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0:15–1:45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proefexamen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Echte condities, open boek. Reken op teleurstelling en zeg dat vooraf</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2:00–2:25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Scorebespreking en dossier,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gecombineerde vragen zijn de vondst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2:25–3:25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methode kiezen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de aanname per methode wordt benoemd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3:25–4:30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falsificeren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collider is het leermoment; laat hem zelf vinden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4:30–5:00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eigen uitspraak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Dit gesprek blijft het langst hangen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Waar liggen de tien punten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Puntanalyse per gebied over alle drie de examens, met de randgebieden gemarkeerd.</w:t>
      </w:r>
    </w:p>
    <w:p>
      <w:pPr>
        <w:pStyle w:val="ListParagraph"/>
        <w:numPr>
          <w:ilvl w:val="0"/>
          <w:numId w:val="2"/>
        </w:numPr>
        <w:spacing w:after="70" w:line="280"/>
      </w:pPr>
      <w:r>
        <w:rPr>
          <w:rFonts w:ascii="Calibri" w:cs="Calibri" w:eastAsia="Calibri" w:hAnsi="Calibri"/>
          <w:color w:val="0E1A1C"/>
          <w:sz w:val="21"/>
          <w:szCs w:val="21"/>
        </w:rPr>
        <w:t xml:space="preserve">De constatering dat tempo en leesfouten nog nauwelijks punten opleveren.</w:t>
      </w:r>
    </w:p>
    <w:p>
      <w:pPr>
        <w:pStyle w:val="ListParagraph"/>
        <w:numPr>
          <w:ilvl w:val="0"/>
          <w:numId w:val="2"/>
        </w:numPr>
        <w:spacing w:after="70" w:line="280"/>
      </w:pPr>
      <w:r>
        <w:rPr>
          <w:rFonts w:ascii="Calibri" w:cs="Calibri" w:eastAsia="Calibri" w:hAnsi="Calibri"/>
          <w:color w:val="0E1A1C"/>
          <w:sz w:val="21"/>
          <w:szCs w:val="21"/>
        </w:rPr>
        <w:t xml:space="preserve">Vijf onderscheidingen daadwerkelijk gedefinieerd zonder boek, met een eerlijke uitkomst.</w:t>
      </w:r>
    </w:p>
    <w:p>
      <w:pPr>
        <w:pStyle w:val="ListParagraph"/>
        <w:numPr>
          <w:ilvl w:val="0"/>
          <w:numId w:val="2"/>
        </w:numPr>
        <w:spacing w:after="70" w:line="280"/>
      </w:pPr>
      <w:r>
        <w:rPr>
          <w:rFonts w:ascii="Calibri" w:cs="Calibri" w:eastAsia="Calibri" w:hAnsi="Calibri"/>
          <w:color w:val="0E1A1C"/>
          <w:sz w:val="21"/>
          <w:szCs w:val="21"/>
        </w:rPr>
        <w:t xml:space="preserve">Een studieplan dat begint bij de randgebieden.</w:t>
      </w:r>
    </w:p>
    <w:p>
      <w:pPr>
        <w:pStyle w:val="ListParagraph"/>
        <w:numPr>
          <w:ilvl w:val="0"/>
          <w:numId w:val="2"/>
        </w:numPr>
        <w:spacing w:after="70" w:line="280"/>
      </w:pPr>
      <w:r>
        <w:rPr>
          <w:rFonts w:ascii="Calibri" w:cs="Calibri" w:eastAsia="Calibri" w:hAnsi="Calibri"/>
          <w:color w:val="0E1A1C"/>
          <w:sz w:val="21"/>
          <w:szCs w:val="21"/>
        </w:rPr>
        <w:t xml:space="preserve">Een eerlijk antwoord op de bereidheidsvraag.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Opnieuw op tempo inzetten. Dat is bij Practitioner al opgehaald.</w:t>
      </w:r>
    </w:p>
    <w:p>
      <w:pPr>
        <w:pStyle w:val="ListParagraph"/>
        <w:numPr>
          <w:ilvl w:val="0"/>
          <w:numId w:val="2"/>
        </w:numPr>
        <w:spacing w:after="70" w:line="280"/>
      </w:pPr>
      <w:r>
        <w:rPr>
          <w:rFonts w:ascii="Calibri" w:cs="Calibri" w:eastAsia="Calibri" w:hAnsi="Calibri"/>
          <w:color w:val="0E1A1C"/>
          <w:sz w:val="21"/>
          <w:szCs w:val="21"/>
        </w:rPr>
        <w:t xml:space="preserve">Verdiepen in de specialismen omdat dat leuker is. Vraag waar de punten liggen.</w:t>
      </w:r>
    </w:p>
    <w:p>
      <w:pPr>
        <w:pStyle w:val="ListParagraph"/>
        <w:numPr>
          <w:ilvl w:val="0"/>
          <w:numId w:val="2"/>
        </w:numPr>
        <w:spacing w:after="70" w:line="280"/>
      </w:pPr>
      <w:r>
        <w:rPr>
          <w:rFonts w:ascii="Calibri" w:cs="Calibri" w:eastAsia="Calibri" w:hAnsi="Calibri"/>
          <w:color w:val="0E1A1C"/>
          <w:sz w:val="21"/>
          <w:szCs w:val="21"/>
        </w:rPr>
        <w:t xml:space="preserve">De definitietoets herkennen in plaats van produceren.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Ben je bereid vijf weken te studeren in gebieden waar je niet goed in bent? Zo nee, wat betekent dat voor je planning?</w:t>
            </w:r>
          </w:p>
        </w:tc>
      </w:tr>
    </w:tbl>
    <w:p>
      <w:pPr>
        <w:pStyle w:val="Heading2"/>
        <w:spacing w:after="140" w:before="340"/>
      </w:pPr>
      <w:r>
        <w:rPr>
          <w:rFonts w:ascii="Cambria" w:cs="Cambria" w:eastAsia="Cambria" w:hAnsi="Cambria"/>
          <w:b/>
          <w:bCs/>
          <w:color w:val="0E1A1C"/>
          <w:sz w:val="26"/>
          <w:szCs w:val="26"/>
        </w:rPr>
        <w:t xml:space="preserve">Opdracht 2 — Dossier tegen de criteria</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Minstens zes kennisgebieden gedekt door vijf tot acht opdrachten.</w:t>
      </w:r>
    </w:p>
    <w:p>
      <w:pPr>
        <w:pStyle w:val="ListParagraph"/>
        <w:numPr>
          <w:ilvl w:val="0"/>
          <w:numId w:val="2"/>
        </w:numPr>
        <w:spacing w:after="70" w:line="280"/>
      </w:pPr>
      <w:r>
        <w:rPr>
          <w:rFonts w:ascii="Calibri" w:cs="Calibri" w:eastAsia="Calibri" w:hAnsi="Calibri"/>
          <w:color w:val="0E1A1C"/>
          <w:sz w:val="21"/>
          <w:szCs w:val="21"/>
        </w:rPr>
        <w:t xml:space="preserve">Per opdracht het genomen besluit én wat er daarna veranderde.</w:t>
      </w:r>
    </w:p>
    <w:p>
      <w:pPr>
        <w:pStyle w:val="ListParagraph"/>
        <w:numPr>
          <w:ilvl w:val="0"/>
          <w:numId w:val="2"/>
        </w:numPr>
        <w:spacing w:after="70" w:line="280"/>
      </w:pPr>
      <w:r>
        <w:rPr>
          <w:rFonts w:ascii="Calibri" w:cs="Calibri" w:eastAsia="Calibri" w:hAnsi="Calibri"/>
          <w:color w:val="0E1A1C"/>
          <w:sz w:val="21"/>
          <w:szCs w:val="21"/>
        </w:rPr>
        <w:t xml:space="preserve">Drie beschrijvingen herschreven van "wij" naar de eigen bijdrage, met wat er zonder hem anders was gegaan.</w:t>
      </w:r>
    </w:p>
    <w:p>
      <w:pPr>
        <w:pStyle w:val="ListParagraph"/>
        <w:numPr>
          <w:ilvl w:val="0"/>
          <w:numId w:val="2"/>
        </w:numPr>
        <w:spacing w:after="70" w:line="280"/>
      </w:pPr>
      <w:r>
        <w:rPr>
          <w:rFonts w:ascii="Calibri" w:cs="Calibri" w:eastAsia="Calibri" w:hAnsi="Calibri"/>
          <w:color w:val="0E1A1C"/>
          <w:sz w:val="21"/>
          <w:szCs w:val="21"/>
        </w:rPr>
        <w:t xml:space="preserve">Eén mislukte opdracht opgenomen, met een analyse die verder gaat dan omstandigheden.</w:t>
      </w:r>
    </w:p>
    <w:p>
      <w:pPr>
        <w:pStyle w:val="ListParagraph"/>
        <w:numPr>
          <w:ilvl w:val="0"/>
          <w:numId w:val="2"/>
        </w:numPr>
        <w:spacing w:after="70" w:line="280"/>
      </w:pPr>
      <w:r>
        <w:rPr>
          <w:rFonts w:ascii="Calibri" w:cs="Calibri" w:eastAsia="Calibri" w:hAnsi="Calibri"/>
          <w:color w:val="0E1A1C"/>
          <w:sz w:val="21"/>
          <w:szCs w:val="21"/>
        </w:rPr>
        <w:t xml:space="preserve">Een concreet plan voor wat er nog ontbreekt.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lijst met projectnamen. Vraag wat de beoordelaar daaruit kan opmaken.</w:t>
      </w:r>
    </w:p>
    <w:p>
      <w:pPr>
        <w:pStyle w:val="ListParagraph"/>
        <w:numPr>
          <w:ilvl w:val="0"/>
          <w:numId w:val="2"/>
        </w:numPr>
        <w:spacing w:after="70" w:line="280"/>
      </w:pPr>
      <w:r>
        <w:rPr>
          <w:rFonts w:ascii="Calibri" w:cs="Calibri" w:eastAsia="Calibri" w:hAnsi="Calibri"/>
          <w:color w:val="0E1A1C"/>
          <w:sz w:val="21"/>
          <w:szCs w:val="21"/>
        </w:rPr>
        <w:t xml:space="preserve">"Wij hebben" laten staan. Dat is de meest voorkomende zwakte.</w:t>
      </w:r>
    </w:p>
    <w:p>
      <w:pPr>
        <w:pStyle w:val="ListParagraph"/>
        <w:numPr>
          <w:ilvl w:val="0"/>
          <w:numId w:val="2"/>
        </w:numPr>
        <w:spacing w:after="70" w:line="280"/>
      </w:pPr>
      <w:r>
        <w:rPr>
          <w:rFonts w:ascii="Calibri" w:cs="Calibri" w:eastAsia="Calibri" w:hAnsi="Calibri"/>
          <w:color w:val="0E1A1C"/>
          <w:sz w:val="21"/>
          <w:szCs w:val="21"/>
        </w:rPr>
        <w:t xml:space="preserve">De mislukte opdracht weglaten omdat het ongemakkelijk voelt.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opdracht zou een beoordelaar als eerste terzijde leggen? En waarom staat hij er dan in?</w:t>
            </w:r>
          </w:p>
        </w:tc>
      </w:tr>
    </w:tbl>
    <w:p>
      <w:pPr>
        <w:pStyle w:val="Heading2"/>
        <w:spacing w:after="140" w:before="340"/>
      </w:pPr>
      <w:r>
        <w:rPr>
          <w:rFonts w:ascii="Cambria" w:cs="Cambria" w:eastAsia="Cambria" w:hAnsi="Cambria"/>
          <w:b/>
          <w:bCs/>
          <w:color w:val="0E1A1C"/>
          <w:sz w:val="26"/>
          <w:szCs w:val="26"/>
        </w:rPr>
        <w:t xml:space="preserve">Opdracht 3 — Proefexamen 80%-band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vragen ingevuld.</w:t>
      </w:r>
    </w:p>
    <w:p>
      <w:pPr>
        <w:pStyle w:val="ListParagraph"/>
        <w:numPr>
          <w:ilvl w:val="0"/>
          <w:numId w:val="2"/>
        </w:numPr>
        <w:spacing w:after="70" w:line="280"/>
      </w:pPr>
      <w:r>
        <w:rPr>
          <w:rFonts w:ascii="Calibri" w:cs="Calibri" w:eastAsia="Calibri" w:hAnsi="Calibri"/>
          <w:color w:val="0E1A1C"/>
          <w:sz w:val="21"/>
          <w:szCs w:val="21"/>
        </w:rPr>
        <w:t xml:space="preserve">Gecombineerde vragen gemarkeerd tijdens het examen, niet achteraf.</w:t>
      </w:r>
    </w:p>
    <w:p>
      <w:pPr>
        <w:pStyle w:val="ListParagraph"/>
        <w:numPr>
          <w:ilvl w:val="0"/>
          <w:numId w:val="2"/>
        </w:numPr>
        <w:spacing w:after="70" w:line="280"/>
      </w:pPr>
      <w:r>
        <w:rPr>
          <w:rFonts w:ascii="Calibri" w:cs="Calibri" w:eastAsia="Calibri" w:hAnsi="Calibri"/>
          <w:color w:val="0E1A1C"/>
          <w:sz w:val="21"/>
          <w:szCs w:val="21"/>
        </w:rPr>
        <w:t xml:space="preserve">De constatering dat opzoeken bij die vragen niet werkt.</w:t>
      </w:r>
    </w:p>
    <w:p>
      <w:pPr>
        <w:pStyle w:val="ListParagraph"/>
        <w:numPr>
          <w:ilvl w:val="0"/>
          <w:numId w:val="2"/>
        </w:numPr>
        <w:spacing w:after="70" w:line="280"/>
      </w:pPr>
      <w:r>
        <w:rPr>
          <w:rFonts w:ascii="Calibri" w:cs="Calibri" w:eastAsia="Calibri" w:hAnsi="Calibri"/>
          <w:color w:val="0E1A1C"/>
          <w:sz w:val="21"/>
          <w:szCs w:val="21"/>
        </w:rPr>
        <w:t xml:space="preserve">Score per gebied, met de afstand tot tachtig procent per gebied.</w:t>
      </w:r>
    </w:p>
    <w:p>
      <w:pPr>
        <w:pStyle w:val="ListParagraph"/>
        <w:numPr>
          <w:ilvl w:val="0"/>
          <w:numId w:val="2"/>
        </w:numPr>
        <w:spacing w:after="70" w:line="280"/>
      </w:pPr>
      <w:r>
        <w:rPr>
          <w:rFonts w:ascii="Calibri" w:cs="Calibri" w:eastAsia="Calibri" w:hAnsi="Calibri"/>
          <w:color w:val="0E1A1C"/>
          <w:sz w:val="21"/>
          <w:szCs w:val="21"/>
        </w:rPr>
        <w:t xml:space="preserve">Foutentypering die onderscheid maakt tussen randgebied en diepte.</w:t>
      </w:r>
    </w:p>
    <w:p>
      <w:pPr>
        <w:pStyle w:val="ListParagraph"/>
        <w:numPr>
          <w:ilvl w:val="0"/>
          <w:numId w:val="2"/>
        </w:numPr>
        <w:spacing w:after="70" w:line="280"/>
      </w:pPr>
      <w:r>
        <w:rPr>
          <w:rFonts w:ascii="Calibri" w:cs="Calibri" w:eastAsia="Calibri" w:hAnsi="Calibri"/>
          <w:color w:val="0E1A1C"/>
          <w:sz w:val="21"/>
          <w:szCs w:val="21"/>
        </w:rPr>
        <w:t xml:space="preserve">Een vergelijking met het Fundamentals-examen op dezelfde gebieden.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Verwachten dat dit examen aanvoelt als dat uit deel 9. Zeg vooraf dat het tegenvalt.</w:t>
      </w:r>
    </w:p>
    <w:p>
      <w:pPr>
        <w:pStyle w:val="ListParagraph"/>
        <w:numPr>
          <w:ilvl w:val="0"/>
          <w:numId w:val="2"/>
        </w:numPr>
        <w:spacing w:after="70" w:line="280"/>
      </w:pPr>
      <w:r>
        <w:rPr>
          <w:rFonts w:ascii="Calibri" w:cs="Calibri" w:eastAsia="Calibri" w:hAnsi="Calibri"/>
          <w:color w:val="0E1A1C"/>
          <w:sz w:val="21"/>
          <w:szCs w:val="21"/>
        </w:rPr>
        <w:t xml:space="preserve">Alleen totaal scoren; de uitsplitsing stuurt het studieplan.</w:t>
      </w:r>
    </w:p>
    <w:p>
      <w:pPr>
        <w:pStyle w:val="ListParagraph"/>
        <w:numPr>
          <w:ilvl w:val="0"/>
          <w:numId w:val="2"/>
        </w:numPr>
        <w:spacing w:after="70" w:line="280"/>
      </w:pPr>
      <w:r>
        <w:rPr>
          <w:rFonts w:ascii="Calibri" w:cs="Calibri" w:eastAsia="Calibri" w:hAnsi="Calibri"/>
          <w:color w:val="0E1A1C"/>
          <w:sz w:val="21"/>
          <w:szCs w:val="21"/>
        </w:rPr>
        <w:t xml:space="preserve">De gecombineerde vragen niet markeren; dan blijft de vondst 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gecombineerde vragen telde je? En hoeveel daarvan kon je opzoeken?</w:t>
            </w:r>
          </w:p>
        </w:tc>
      </w:tr>
    </w:tbl>
    <w:p>
      <w:pPr>
        <w:pStyle w:val="Heading2"/>
        <w:spacing w:after="140" w:before="340"/>
      </w:pPr>
      <w:r>
        <w:rPr>
          <w:rFonts w:ascii="Cambria" w:cs="Cambria" w:eastAsia="Cambria" w:hAnsi="Cambria"/>
          <w:b/>
          <w:bCs/>
          <w:color w:val="0E1A1C"/>
          <w:sz w:val="26"/>
          <w:szCs w:val="26"/>
        </w:rPr>
        <w:t xml:space="preserve">Opdracht 4 — Methode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de methoden beoordeeld, met de dragende aanname per stuk.</w:t>
      </w:r>
    </w:p>
    <w:p>
      <w:pPr>
        <w:pStyle w:val="ListParagraph"/>
        <w:numPr>
          <w:ilvl w:val="0"/>
          <w:numId w:val="2"/>
        </w:numPr>
        <w:spacing w:after="70" w:line="280"/>
      </w:pPr>
      <w:r>
        <w:rPr>
          <w:rFonts w:ascii="Calibri" w:cs="Calibri" w:eastAsia="Calibri" w:hAnsi="Calibri"/>
          <w:color w:val="0E1A1C"/>
          <w:sz w:val="21"/>
          <w:szCs w:val="21"/>
        </w:rPr>
        <w:t xml:space="preserve">Verschil-in-verschillen gekozen op grond van de Nautilus-groep als onbehandelde groep.</w:t>
      </w:r>
    </w:p>
    <w:p>
      <w:pPr>
        <w:pStyle w:val="ListParagraph"/>
        <w:numPr>
          <w:ilvl w:val="0"/>
          <w:numId w:val="2"/>
        </w:numPr>
        <w:spacing w:after="70" w:line="280"/>
      </w:pPr>
      <w:r>
        <w:rPr>
          <w:rFonts w:ascii="Calibri" w:cs="Calibri" w:eastAsia="Calibri" w:hAnsi="Calibri"/>
          <w:color w:val="0E1A1C"/>
          <w:sz w:val="21"/>
          <w:szCs w:val="21"/>
        </w:rPr>
        <w:t xml:space="preserve">Regressiediscontinuïteit afgewezen omdat er geen harde drempel is.</w:t>
      </w:r>
    </w:p>
    <w:p>
      <w:pPr>
        <w:pStyle w:val="ListParagraph"/>
        <w:numPr>
          <w:ilvl w:val="0"/>
          <w:numId w:val="2"/>
        </w:numPr>
        <w:spacing w:after="70" w:line="280"/>
      </w:pPr>
      <w:r>
        <w:rPr>
          <w:rFonts w:ascii="Calibri" w:cs="Calibri" w:eastAsia="Calibri" w:hAnsi="Calibri"/>
          <w:color w:val="0E1A1C"/>
          <w:sz w:val="21"/>
          <w:szCs w:val="21"/>
        </w:rPr>
        <w:t xml:space="preserve">Matching afgewezen of met voorbehoud, omdat digitale vaardigheid onwaarneembaar is.</w:t>
      </w:r>
    </w:p>
    <w:p>
      <w:pPr>
        <w:pStyle w:val="ListParagraph"/>
        <w:numPr>
          <w:ilvl w:val="0"/>
          <w:numId w:val="2"/>
        </w:numPr>
        <w:spacing w:after="70" w:line="280"/>
      </w:pPr>
      <w:r>
        <w:rPr>
          <w:rFonts w:ascii="Calibri" w:cs="Calibri" w:eastAsia="Calibri" w:hAnsi="Calibri"/>
          <w:color w:val="0E1A1C"/>
          <w:sz w:val="21"/>
          <w:szCs w:val="21"/>
        </w:rPr>
        <w:t xml:space="preserve">De keuzemenuwijziging herkend als bedreiging voor de conclusie.</w:t>
      </w:r>
    </w:p>
    <w:p>
      <w:pPr>
        <w:pStyle w:val="ListParagraph"/>
        <w:numPr>
          <w:ilvl w:val="0"/>
          <w:numId w:val="2"/>
        </w:numPr>
        <w:spacing w:after="70" w:line="280"/>
      </w:pPr>
      <w:r>
        <w:rPr>
          <w:rFonts w:ascii="Calibri" w:cs="Calibri" w:eastAsia="Calibri" w:hAnsi="Calibri"/>
          <w:color w:val="0E1A1C"/>
          <w:sz w:val="21"/>
          <w:szCs w:val="21"/>
        </w:rPr>
        <w:t xml:space="preserve">Een haalbaarheidsoordeel in drie zinnen.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methode kiezen zonder de aanname te benoemen.</w:t>
      </w:r>
    </w:p>
    <w:p>
      <w:pPr>
        <w:pStyle w:val="ListParagraph"/>
        <w:numPr>
          <w:ilvl w:val="0"/>
          <w:numId w:val="2"/>
        </w:numPr>
        <w:spacing w:after="70" w:line="280"/>
      </w:pPr>
      <w:r>
        <w:rPr>
          <w:rFonts w:ascii="Calibri" w:cs="Calibri" w:eastAsia="Calibri" w:hAnsi="Calibri"/>
          <w:color w:val="0E1A1C"/>
          <w:sz w:val="21"/>
          <w:szCs w:val="21"/>
        </w:rPr>
        <w:t xml:space="preserve">De keuzemenuwijziging over het hoofd zien; die zit expliciet in het materiaal.</w:t>
      </w:r>
    </w:p>
    <w:p>
      <w:pPr>
        <w:pStyle w:val="ListParagraph"/>
        <w:numPr>
          <w:ilvl w:val="0"/>
          <w:numId w:val="2"/>
        </w:numPr>
        <w:spacing w:after="70" w:line="280"/>
      </w:pPr>
      <w:r>
        <w:rPr>
          <w:rFonts w:ascii="Calibri" w:cs="Calibri" w:eastAsia="Calibri" w:hAnsi="Calibri"/>
          <w:color w:val="0E1A1C"/>
          <w:sz w:val="21"/>
          <w:szCs w:val="21"/>
        </w:rPr>
        <w:t xml:space="preserve">Concluderen dat matching veilig is omdat er veel kenmerken zijn.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Het keuzemenu is in dezelfde maand aangepast, alleen bij Meridiaan. Wat doet dat met je conclusie?</w:t>
            </w:r>
          </w:p>
        </w:tc>
      </w:tr>
    </w:tbl>
    <w:p>
      <w:pPr>
        <w:pStyle w:val="Heading2"/>
        <w:spacing w:after="140" w:before="340"/>
      </w:pPr>
      <w:r>
        <w:rPr>
          <w:rFonts w:ascii="Cambria" w:cs="Cambria" w:eastAsia="Cambria" w:hAnsi="Cambria"/>
          <w:b/>
          <w:bCs/>
          <w:color w:val="0E1A1C"/>
          <w:sz w:val="26"/>
          <w:szCs w:val="26"/>
        </w:rPr>
        <w:t xml:space="preserve">Opdracht 5 — Aannames falsificeren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de toetsen uitgevoerd, niet alleen genoemd.</w:t>
      </w:r>
    </w:p>
    <w:p>
      <w:pPr>
        <w:pStyle w:val="ListParagraph"/>
        <w:numPr>
          <w:ilvl w:val="0"/>
          <w:numId w:val="2"/>
        </w:numPr>
        <w:spacing w:after="70" w:line="280"/>
      </w:pPr>
      <w:r>
        <w:rPr>
          <w:rFonts w:ascii="Calibri" w:cs="Calibri" w:eastAsia="Calibri" w:hAnsi="Calibri"/>
          <w:color w:val="0E1A1C"/>
          <w:sz w:val="21"/>
          <w:szCs w:val="21"/>
        </w:rPr>
        <w:t xml:space="preserve">De lichte voorafgaande divergentie opgemerkt en eerlijk beoordeeld — hij doorstaat de toets net, en dat is zelf een bevinding.</w:t>
      </w:r>
    </w:p>
    <w:p>
      <w:pPr>
        <w:pStyle w:val="ListParagraph"/>
        <w:numPr>
          <w:ilvl w:val="0"/>
          <w:numId w:val="2"/>
        </w:numPr>
        <w:spacing w:after="70" w:line="280"/>
      </w:pPr>
      <w:r>
        <w:rPr>
          <w:rFonts w:ascii="Calibri" w:cs="Calibri" w:eastAsia="Calibri" w:hAnsi="Calibri"/>
          <w:color w:val="0E1A1C"/>
          <w:sz w:val="21"/>
          <w:szCs w:val="21"/>
        </w:rPr>
        <w:t xml:space="preserve">Een placebotoets op een periode zonder interventie.</w:t>
      </w:r>
    </w:p>
    <w:p>
      <w:pPr>
        <w:pStyle w:val="ListParagraph"/>
        <w:numPr>
          <w:ilvl w:val="0"/>
          <w:numId w:val="2"/>
        </w:numPr>
        <w:spacing w:after="70" w:line="280"/>
      </w:pPr>
      <w:r>
        <w:rPr>
          <w:rFonts w:ascii="Calibri" w:cs="Calibri" w:eastAsia="Calibri" w:hAnsi="Calibri"/>
          <w:color w:val="0E1A1C"/>
          <w:sz w:val="21"/>
          <w:szCs w:val="21"/>
        </w:rPr>
        <w:t xml:space="preserve">Een gevoeligheidsanalyse met een uitspraak over hoe sterk een verborgen factor zou moeten zijn.</w:t>
      </w:r>
    </w:p>
    <w:p>
      <w:pPr>
        <w:pStyle w:val="ListParagraph"/>
        <w:numPr>
          <w:ilvl w:val="0"/>
          <w:numId w:val="2"/>
        </w:numPr>
        <w:spacing w:after="70" w:line="280"/>
      </w:pPr>
      <w:r>
        <w:rPr>
          <w:rFonts w:ascii="Calibri" w:cs="Calibri" w:eastAsia="Calibri" w:hAnsi="Calibri"/>
          <w:color w:val="0E1A1C"/>
          <w:sz w:val="21"/>
          <w:szCs w:val="21"/>
        </w:rPr>
        <w:t xml:space="preserve">Het causale diagram getekend, met het aantal brieven herkend als collider.</w:t>
      </w:r>
    </w:p>
    <w:p>
      <w:pPr>
        <w:pStyle w:val="ListParagraph"/>
        <w:numPr>
          <w:ilvl w:val="0"/>
          <w:numId w:val="2"/>
        </w:numPr>
        <w:spacing w:after="70" w:line="280"/>
      </w:pPr>
      <w:r>
        <w:rPr>
          <w:rFonts w:ascii="Calibri" w:cs="Calibri" w:eastAsia="Calibri" w:hAnsi="Calibri"/>
          <w:color w:val="0E1A1C"/>
          <w:sz w:val="21"/>
          <w:szCs w:val="21"/>
        </w:rPr>
        <w:t xml:space="preserve">Bevinding in de juiste volgorde: aanname, toets, resultaat, dan effect.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aanname noemen zonder hem te toetsen. Dat is het verschil tussen een analyse en een gok met formules.</w:t>
      </w:r>
    </w:p>
    <w:p>
      <w:pPr>
        <w:pStyle w:val="ListParagraph"/>
        <w:numPr>
          <w:ilvl w:val="0"/>
          <w:numId w:val="2"/>
        </w:numPr>
        <w:spacing w:after="70" w:line="280"/>
      </w:pPr>
      <w:r>
        <w:rPr>
          <w:rFonts w:ascii="Calibri" w:cs="Calibri" w:eastAsia="Calibri" w:hAnsi="Calibri"/>
          <w:color w:val="0E1A1C"/>
          <w:sz w:val="21"/>
          <w:szCs w:val="21"/>
        </w:rPr>
        <w:t xml:space="preserve">Corrigeren voor het aantal brieven omdat meer corrigeren zorgvuldiger voelt.</w:t>
      </w:r>
    </w:p>
    <w:p>
      <w:pPr>
        <w:pStyle w:val="ListParagraph"/>
        <w:numPr>
          <w:ilvl w:val="0"/>
          <w:numId w:val="2"/>
        </w:numPr>
        <w:spacing w:after="70" w:line="280"/>
      </w:pPr>
      <w:r>
        <w:rPr>
          <w:rFonts w:ascii="Calibri" w:cs="Calibri" w:eastAsia="Calibri" w:hAnsi="Calibri"/>
          <w:color w:val="0E1A1C"/>
          <w:sz w:val="21"/>
          <w:szCs w:val="21"/>
        </w:rPr>
        <w:t xml:space="preserve">Het effect vooropzetten in de rapportage; dan beoordeelt de lezer de aanname welwillender.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sterk zou een verborgen factor moeten zijn om je effect weg te verklaren? Is dat plausibel?</w:t>
            </w:r>
          </w:p>
        </w:tc>
      </w:tr>
    </w:tbl>
    <w:p>
      <w:pPr>
        <w:pStyle w:val="Heading2"/>
        <w:spacing w:after="140" w:before="340"/>
      </w:pPr>
      <w:r>
        <w:rPr>
          <w:rFonts w:ascii="Cambria" w:cs="Cambria" w:eastAsia="Cambria" w:hAnsi="Cambria"/>
          <w:b/>
          <w:bCs/>
          <w:color w:val="0E1A1C"/>
          <w:sz w:val="26"/>
          <w:szCs w:val="26"/>
        </w:rPr>
        <w:t xml:space="preserve">Opdracht 6 — Je eigen causale uitspraak</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impliciete methode benoemd, ook al had de uitspraak destijds geen naam.</w:t>
      </w:r>
    </w:p>
    <w:p>
      <w:pPr>
        <w:pStyle w:val="ListParagraph"/>
        <w:numPr>
          <w:ilvl w:val="0"/>
          <w:numId w:val="2"/>
        </w:numPr>
        <w:spacing w:after="70" w:line="280"/>
      </w:pPr>
      <w:r>
        <w:rPr>
          <w:rFonts w:ascii="Calibri" w:cs="Calibri" w:eastAsia="Calibri" w:hAnsi="Calibri"/>
          <w:color w:val="0E1A1C"/>
          <w:sz w:val="21"/>
          <w:szCs w:val="21"/>
        </w:rPr>
        <w:t xml:space="preserve">Een eerlijke beoordeling of de aanname destijds verdedigbaar was.</w:t>
      </w:r>
    </w:p>
    <w:p>
      <w:pPr>
        <w:pStyle w:val="ListParagraph"/>
        <w:numPr>
          <w:ilvl w:val="0"/>
          <w:numId w:val="2"/>
        </w:numPr>
        <w:spacing w:after="70" w:line="280"/>
      </w:pPr>
      <w:r>
        <w:rPr>
          <w:rFonts w:ascii="Calibri" w:cs="Calibri" w:eastAsia="Calibri" w:hAnsi="Calibri"/>
          <w:color w:val="0E1A1C"/>
          <w:sz w:val="21"/>
          <w:szCs w:val="21"/>
        </w:rPr>
        <w:t xml:space="preserve">Toetsing aan de vier situaties uit hoofdstuk 8.</w:t>
      </w:r>
    </w:p>
    <w:p>
      <w:pPr>
        <w:pStyle w:val="ListParagraph"/>
        <w:numPr>
          <w:ilvl w:val="0"/>
          <w:numId w:val="2"/>
        </w:numPr>
        <w:spacing w:after="70" w:line="280"/>
      </w:pPr>
      <w:r>
        <w:rPr>
          <w:rFonts w:ascii="Calibri" w:cs="Calibri" w:eastAsia="Calibri" w:hAnsi="Calibri"/>
          <w:color w:val="0E1A1C"/>
          <w:sz w:val="21"/>
          <w:szCs w:val="21"/>
        </w:rPr>
        <w:t xml:space="preserve">Een herformulering, of de vaststelling dat de uitspraak niet houdbaar was.</w:t>
      </w:r>
    </w:p>
    <w:p>
      <w:pPr>
        <w:pStyle w:val="ListParagraph"/>
        <w:numPr>
          <w:ilvl w:val="0"/>
          <w:numId w:val="2"/>
        </w:numPr>
        <w:spacing w:after="70" w:line="280"/>
      </w:pPr>
      <w:r>
        <w:rPr>
          <w:rFonts w:ascii="Calibri" w:cs="Calibri" w:eastAsia="Calibri" w:hAnsi="Calibri"/>
          <w:color w:val="0E1A1C"/>
          <w:sz w:val="21"/>
          <w:szCs w:val="21"/>
        </w:rPr>
        <w:t xml:space="preserve">Een concrete zin die hij destijds tegen de opdrachtgever had moeten zeggen.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uitspraak kiezen die achteraf klopte. Dan levert de analyse niets op.</w:t>
      </w:r>
    </w:p>
    <w:p>
      <w:pPr>
        <w:pStyle w:val="ListParagraph"/>
        <w:numPr>
          <w:ilvl w:val="0"/>
          <w:numId w:val="2"/>
        </w:numPr>
        <w:spacing w:after="70" w:line="280"/>
      </w:pPr>
      <w:r>
        <w:rPr>
          <w:rFonts w:ascii="Calibri" w:cs="Calibri" w:eastAsia="Calibri" w:hAnsi="Calibri"/>
          <w:color w:val="0E1A1C"/>
          <w:sz w:val="21"/>
          <w:szCs w:val="21"/>
        </w:rPr>
        <w:t xml:space="preserve">De omstandigheden verantwoordelijk maken.</w:t>
      </w:r>
    </w:p>
    <w:p>
      <w:pPr>
        <w:pStyle w:val="ListParagraph"/>
        <w:numPr>
          <w:ilvl w:val="0"/>
          <w:numId w:val="2"/>
        </w:numPr>
        <w:spacing w:after="70" w:line="280"/>
      </w:pPr>
      <w:r>
        <w:rPr>
          <w:rFonts w:ascii="Calibri" w:cs="Calibri" w:eastAsia="Calibri" w:hAnsi="Calibri"/>
          <w:color w:val="0E1A1C"/>
          <w:sz w:val="21"/>
          <w:szCs w:val="21"/>
        </w:rPr>
        <w:t xml:space="preserve">Concluderen dat de uitspraak wel mocht omdat de opdrachtgever erom vroeg.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had je destijds moeten zeggen? Zeg het nu hardop tegen je duopartner.</w:t>
            </w:r>
          </w:p>
        </w:tc>
      </w:tr>
    </w:tbl>
    <w:p>
      <w:pPr>
        <w:pStyle w:val="Heading2"/>
        <w:spacing w:after="140" w:before="340"/>
      </w:pPr>
      <w:r>
        <w:rPr>
          <w:rFonts w:ascii="Cambria" w:cs="Cambria" w:eastAsia="Cambria" w:hAnsi="Cambria"/>
          <w:b/>
          <w:bCs/>
          <w:color w:val="0E1A1C"/>
          <w:sz w:val="26"/>
          <w:szCs w:val="26"/>
        </w:rPr>
        <w:t xml:space="preserve">Opdracht 7 — Planning en go/no-go</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Twaalfwekenschema aangepast aan de eigen beschikbaarheid.</w:t>
      </w:r>
    </w:p>
    <w:p>
      <w:pPr>
        <w:pStyle w:val="ListParagraph"/>
        <w:numPr>
          <w:ilvl w:val="0"/>
          <w:numId w:val="2"/>
        </w:numPr>
        <w:spacing w:after="70" w:line="280"/>
      </w:pPr>
      <w:r>
        <w:rPr>
          <w:rFonts w:ascii="Calibri" w:cs="Calibri" w:eastAsia="Calibri" w:hAnsi="Calibri"/>
          <w:color w:val="0E1A1C"/>
          <w:sz w:val="21"/>
          <w:szCs w:val="21"/>
        </w:rPr>
        <w:t xml:space="preserve">Het dossier parallel gepland, niet erna.</w:t>
      </w:r>
    </w:p>
    <w:p>
      <w:pPr>
        <w:pStyle w:val="ListParagraph"/>
        <w:numPr>
          <w:ilvl w:val="0"/>
          <w:numId w:val="2"/>
        </w:numPr>
        <w:spacing w:after="70" w:line="280"/>
      </w:pPr>
      <w:r>
        <w:rPr>
          <w:rFonts w:ascii="Calibri" w:cs="Calibri" w:eastAsia="Calibri" w:hAnsi="Calibri"/>
          <w:color w:val="0E1A1C"/>
          <w:sz w:val="21"/>
          <w:szCs w:val="21"/>
        </w:rPr>
        <w:t xml:space="preserve">Per examen een datum en een criterium in een consistente proefscore.</w:t>
      </w:r>
    </w:p>
    <w:p>
      <w:pPr>
        <w:pStyle w:val="ListParagraph"/>
        <w:numPr>
          <w:ilvl w:val="0"/>
          <w:numId w:val="2"/>
        </w:numPr>
        <w:spacing w:after="70" w:line="280"/>
      </w:pPr>
      <w:r>
        <w:rPr>
          <w:rFonts w:ascii="Calibri" w:cs="Calibri" w:eastAsia="Calibri" w:hAnsi="Calibri"/>
          <w:color w:val="0E1A1C"/>
          <w:sz w:val="21"/>
          <w:szCs w:val="21"/>
        </w:rPr>
        <w:t xml:space="preserve">Een tegenlezer daadwerkelijk gevraagd, niet alleen aangewezen.</w:t>
      </w:r>
    </w:p>
    <w:p>
      <w:pPr>
        <w:pStyle w:val="ListParagraph"/>
        <w:numPr>
          <w:ilvl w:val="0"/>
          <w:numId w:val="2"/>
        </w:numPr>
        <w:spacing w:after="70" w:line="280"/>
      </w:pPr>
      <w:r>
        <w:rPr>
          <w:rFonts w:ascii="Calibri" w:cs="Calibri" w:eastAsia="Calibri" w:hAnsi="Calibri"/>
          <w:color w:val="0E1A1C"/>
          <w:sz w:val="21"/>
          <w:szCs w:val="21"/>
        </w:rPr>
        <w:t xml:space="preserve">Een eerlijk oordeel over de AIGP dit jaar.</w:t>
      </w:r>
    </w:p>
    <w:p>
      <w:pPr>
        <w:pStyle w:val="ListParagraph"/>
        <w:numPr>
          <w:ilvl w:val="0"/>
          <w:numId w:val="2"/>
        </w:numPr>
        <w:spacing w:after="70" w:line="280"/>
      </w:pPr>
      <w:r>
        <w:rPr>
          <w:rFonts w:ascii="Calibri" w:cs="Calibri" w:eastAsia="Calibri" w:hAnsi="Calibri"/>
          <w:color w:val="0E1A1C"/>
          <w:sz w:val="21"/>
          <w:szCs w:val="21"/>
        </w:rPr>
        <w:t xml:space="preserve">De actuele Master-eisen gecontroleerd bij DAMA, met vermelding of ze afwijken.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dossier na de examens plannen. Dat is uitstellen, en het is de meest voorkomende reden dat mensen op Practitioner blijven staan.</w:t>
      </w:r>
    </w:p>
    <w:p>
      <w:pPr>
        <w:pStyle w:val="ListParagraph"/>
        <w:numPr>
          <w:ilvl w:val="0"/>
          <w:numId w:val="2"/>
        </w:numPr>
        <w:spacing w:after="70" w:line="280"/>
      </w:pPr>
      <w:r>
        <w:rPr>
          <w:rFonts w:ascii="Calibri" w:cs="Calibri" w:eastAsia="Calibri" w:hAnsi="Calibri"/>
          <w:color w:val="0E1A1C"/>
          <w:sz w:val="21"/>
          <w:szCs w:val="21"/>
        </w:rPr>
        <w:t xml:space="preserve">Een tegenlezer aanwijzen zonder het te vragen.</w:t>
      </w:r>
    </w:p>
    <w:p>
      <w:pPr>
        <w:pStyle w:val="ListParagraph"/>
        <w:numPr>
          <w:ilvl w:val="0"/>
          <w:numId w:val="2"/>
        </w:numPr>
        <w:spacing w:after="70" w:line="280"/>
      </w:pPr>
      <w:r>
        <w:rPr>
          <w:rFonts w:ascii="Calibri" w:cs="Calibri" w:eastAsia="Calibri" w:hAnsi="Calibri"/>
          <w:color w:val="0E1A1C"/>
          <w:sz w:val="21"/>
          <w:szCs w:val="21"/>
        </w:rPr>
        <w:t xml:space="preserve">De eisen niet controleren; ze zijn aangescherpt.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Wanneer is je dossier af? Zet er een datum bij, vóór de examendata.</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 komen de tien procentpunt van 70 naar 80 vandaan?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Vrijwel geheel uit kennis: de randgebieden en de diepte.</w:t>
      </w:r>
    </w:p>
    <w:p>
      <w:pPr>
        <w:spacing w:after="40" w:line="275"/>
        <w:ind w:left="420"/>
      </w:pPr>
      <w:r>
        <w:rPr>
          <w:rFonts w:ascii="Calibri" w:cs="Calibri" w:eastAsia="Calibri" w:hAnsi="Calibri"/>
          <w:color w:val="5F7375"/>
          <w:sz w:val="19"/>
          <w:szCs w:val="19"/>
        </w:rPr>
        <w:t xml:space="preserve">Tempo en lezen zijn bij Practitioner al opgelost. Wat resteert is de rest van het vakgebied.</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toetst de bovenste band dat de onderste niet toetst?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Uitzonderingen op vuistregels en vragen die twee kennisgebieden combineren.</w:t>
      </w:r>
    </w:p>
    <w:p>
      <w:pPr>
        <w:spacing w:after="40" w:line="275"/>
        <w:ind w:left="420"/>
      </w:pPr>
      <w:r>
        <w:rPr>
          <w:rFonts w:ascii="Calibri" w:cs="Calibri" w:eastAsia="Calibri" w:hAnsi="Calibri"/>
          <w:color w:val="5F7375"/>
          <w:sz w:val="19"/>
          <w:szCs w:val="19"/>
        </w:rPr>
        <w:t xml:space="preserve">Gecombineerde vragen zijn niet met opzoeken op te lossen: het antwoord staat in twee hoofdstukken en nergens als geheel.</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zoekt een beoordelaar in een ervaringsdossier dat er meestal niet in staat?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jij deed en wat er zonder jou anders was gegaan.</w:t>
      </w:r>
    </w:p>
    <w:p>
      <w:pPr>
        <w:spacing w:after="40" w:line="275"/>
        <w:ind w:left="420"/>
      </w:pPr>
      <w:r>
        <w:rPr>
          <w:rFonts w:ascii="Calibri" w:cs="Calibri" w:eastAsia="Calibri" w:hAnsi="Calibri"/>
          <w:color w:val="5F7375"/>
          <w:sz w:val="19"/>
          <w:szCs w:val="19"/>
        </w:rPr>
        <w:t xml:space="preserve">"Wij hebben" over een teamresultaat zegt niets over jouw bijdrage.</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Waarom neem je een opdracht op die niet liep?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dossier met uitsluitend successen leest als een verkooppraatje; één eerlijke analyse doet meer dan een zesde succes.</w:t>
      </w:r>
    </w:p>
    <w:p>
      <w:pPr>
        <w:spacing w:after="40" w:line="275"/>
        <w:ind w:left="420"/>
      </w:pPr>
      <w:r>
        <w:rPr>
          <w:rFonts w:ascii="Calibri" w:cs="Calibri" w:eastAsia="Calibri" w:hAnsi="Calibri"/>
          <w:color w:val="5F7375"/>
          <w:sz w:val="19"/>
          <w:szCs w:val="19"/>
        </w:rPr>
        <w:t xml:space="preserve">De reflectie is een beoordelingscriterium en het meest onderschatte.</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de dragende aanname bij verschil-in-verschillen?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Zonder interventie zouden beide groepen dezelfde ontwikkeling hebben doorgemaakt.</w:t>
      </w:r>
    </w:p>
    <w:p>
      <w:pPr>
        <w:spacing w:after="40" w:line="275"/>
        <w:ind w:left="420"/>
      </w:pPr>
      <w:r>
        <w:rPr>
          <w:rFonts w:ascii="Calibri" w:cs="Calibri" w:eastAsia="Calibri" w:hAnsi="Calibri"/>
          <w:color w:val="5F7375"/>
          <w:sz w:val="19"/>
          <w:szCs w:val="19"/>
        </w:rPr>
        <w:t xml:space="preserve">Toets die met de parallelle voorgeschiedenis — dat maakt hem aannemelijker maar bewijst hem niet.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Wanneer past regressiediscontinuïteit?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een harde drempel waaraan de interventie hangt.</w:t>
      </w:r>
    </w:p>
    <w:p>
      <w:pPr>
        <w:spacing w:after="40" w:line="275"/>
        <w:ind w:left="420"/>
      </w:pPr>
      <w:r>
        <w:rPr>
          <w:rFonts w:ascii="Calibri" w:cs="Calibri" w:eastAsia="Calibri" w:hAnsi="Calibri"/>
          <w:color w:val="5F7375"/>
          <w:sz w:val="19"/>
          <w:szCs w:val="19"/>
        </w:rPr>
        <w:t xml:space="preserve">Rond de grens zijn de groepen verder vergelijkbaar — mits niemand zijn positie kan manipuleren.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de zwakte van matching in de portaalcasus?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Digitale vaardigheid is een onwaarneembaar verschil dat zowel portaalgebruik als belgedrag bepaalt.</w:t>
      </w:r>
    </w:p>
    <w:p>
      <w:pPr>
        <w:spacing w:after="40" w:line="275"/>
        <w:ind w:left="420"/>
      </w:pPr>
      <w:r>
        <w:rPr>
          <w:rFonts w:ascii="Calibri" w:cs="Calibri" w:eastAsia="Calibri" w:hAnsi="Calibri"/>
          <w:color w:val="5F7375"/>
          <w:sz w:val="19"/>
          <w:szCs w:val="19"/>
        </w:rPr>
        <w:t xml:space="preserve">De aanname is dat er geen onwaarneembare verschillen zijn — en die is hier moeilijk vol te houden.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toont een placebotoets aan?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je iets anders meet, als je op een periode zonder interventie toch een effect vindt.</w:t>
      </w:r>
    </w:p>
    <w:p>
      <w:pPr>
        <w:spacing w:after="40" w:line="275"/>
        <w:ind w:left="420"/>
      </w:pPr>
      <w:r>
        <w:rPr>
          <w:rFonts w:ascii="Calibri" w:cs="Calibri" w:eastAsia="Calibri" w:hAnsi="Calibri"/>
          <w:color w:val="5F7375"/>
          <w:sz w:val="19"/>
          <w:szCs w:val="19"/>
        </w:rPr>
        <w:t xml:space="preserve">Het is een falsificatie: je zoekt naar bewijs tégen je eigen conclusie.</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Waarop corrigeer je níét?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Op een variabele die tussen behandeling en uitkomst ligt, of die door beide wordt beïnvloed.</w:t>
      </w:r>
    </w:p>
    <w:p>
      <w:pPr>
        <w:spacing w:after="40" w:line="275"/>
        <w:ind w:left="420"/>
      </w:pPr>
      <w:r>
        <w:rPr>
          <w:rFonts w:ascii="Calibri" w:cs="Calibri" w:eastAsia="Calibri" w:hAnsi="Calibri"/>
          <w:color w:val="5F7375"/>
          <w:sz w:val="19"/>
          <w:szCs w:val="19"/>
        </w:rPr>
        <w:t xml:space="preserve">De eerste draagt een deel van het effect; de tweede creëert een verband dat er niet was.</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Waarom is corrigeren voor het aantal ontvangen brieven onverstandig?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wordt door zowel portaalgebruik als belgedrag beïnvloed, dus corrigeren creëert een schijnverband.</w:t>
      </w:r>
    </w:p>
    <w:p>
      <w:pPr>
        <w:spacing w:after="40" w:line="275"/>
        <w:ind w:left="420"/>
      </w:pPr>
      <w:r>
        <w:rPr>
          <w:rFonts w:ascii="Calibri" w:cs="Calibri" w:eastAsia="Calibri" w:hAnsi="Calibri"/>
          <w:color w:val="5F7375"/>
          <w:sz w:val="19"/>
          <w:szCs w:val="19"/>
        </w:rPr>
        <w:t xml:space="preserve">Dit is een van de weinige manieren waarop corrigeren de zaak actief verslechtert — en het gebeurt omdat meer corrigeren zorgvuldiger voelt.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is de rapportagevolgorde bij een causale analyse?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Aanname, toets, resultaat van de toets, dan pas het effect.</w:t>
      </w:r>
    </w:p>
    <w:p>
      <w:pPr>
        <w:spacing w:after="40" w:line="275"/>
        <w:ind w:left="420"/>
      </w:pPr>
      <w:r>
        <w:rPr>
          <w:rFonts w:ascii="Calibri" w:cs="Calibri" w:eastAsia="Calibri" w:hAnsi="Calibri"/>
          <w:color w:val="5F7375"/>
          <w:sz w:val="19"/>
          <w:szCs w:val="19"/>
        </w:rPr>
        <w:t xml:space="preserve">Een lezer die eerst het effect ziet, beoordeelt de aanname daarna welwillender. Dat geldt ook voor jezelf.</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De opdrachtgever vraagt om een causale uitspraak die geen enkele methode draagt. Wat doe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Zeggen dat het verband er is, welke verklaringen je niet kunt uitsluiten, en dat een oorzakelijke uitspraak niet verdedigbaar is.</w:t>
      </w:r>
    </w:p>
    <w:p>
      <w:pPr>
        <w:spacing w:after="40" w:line="275"/>
        <w:ind w:left="420"/>
      </w:pPr>
      <w:r>
        <w:rPr>
          <w:rFonts w:ascii="Calibri" w:cs="Calibri" w:eastAsia="Calibri" w:hAnsi="Calibri"/>
          <w:color w:val="5F7375"/>
          <w:sz w:val="19"/>
          <w:szCs w:val="19"/>
        </w:rPr>
        <w:t xml:space="preserve">Dat voelt als falen en is het tegendeel: het is precies het oordeel waarvoor je op dit niveau wordt ingehuurd.</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causale uitspraak zonder experiment ooit net zo sterk als een met experiment?</w:t>
      </w:r>
    </w:p>
    <w:p>
      <w:pPr>
        <w:pStyle w:val="ListParagraph"/>
        <w:numPr>
          <w:ilvl w:val="0"/>
          <w:numId w:val="3"/>
        </w:numPr>
        <w:spacing w:after="70" w:line="280"/>
      </w:pPr>
      <w:r>
        <w:rPr>
          <w:rFonts w:ascii="Calibri" w:cs="Calibri" w:eastAsia="Calibri" w:hAnsi="Calibri"/>
          <w:color w:val="0E1A1C"/>
          <w:sz w:val="21"/>
          <w:szCs w:val="21"/>
        </w:rPr>
        <w:t xml:space="preserve">Mag een adviseur weigeren een causale uitspraak te doen die de opdrachtgever nodig heeft voor zijn besluit?</w:t>
      </w:r>
    </w:p>
    <w:p>
      <w:pPr>
        <w:pStyle w:val="ListParagraph"/>
        <w:numPr>
          <w:ilvl w:val="0"/>
          <w:numId w:val="3"/>
        </w:numPr>
        <w:spacing w:after="70" w:line="280"/>
      </w:pPr>
      <w:r>
        <w:rPr>
          <w:rFonts w:ascii="Calibri" w:cs="Calibri" w:eastAsia="Calibri" w:hAnsi="Calibri"/>
          <w:color w:val="0E1A1C"/>
          <w:sz w:val="21"/>
          <w:szCs w:val="21"/>
        </w:rPr>
        <w:t xml:space="preserve">Zegt een ervaringsdossier meer over vakbekwaamheid dan drie examens op tachtig procent?</w:t>
      </w:r>
    </w:p>
    <w:p>
      <w:pPr>
        <w:pStyle w:val="ListParagraph"/>
        <w:numPr>
          <w:ilvl w:val="0"/>
          <w:numId w:val="3"/>
        </w:numPr>
        <w:spacing w:after="70" w:line="280"/>
      </w:pPr>
      <w:r>
        <w:rPr>
          <w:rFonts w:ascii="Calibri" w:cs="Calibri" w:eastAsia="Calibri" w:hAnsi="Calibri"/>
          <w:color w:val="0E1A1C"/>
          <w:sz w:val="21"/>
          <w:szCs w:val="21"/>
        </w:rPr>
        <w:t xml:space="preserve">Waarom blijven zoveel mensen op Practitioner staan terwijl ze de examens hebben?</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5 een tweede gevoeligheidsanalyse doen onder de aanname dat de keuzemenuwijziging wél effect had.</w:t>
      </w:r>
    </w:p>
    <w:p>
      <w:pPr>
        <w:pStyle w:val="ListParagraph"/>
        <w:numPr>
          <w:ilvl w:val="0"/>
          <w:numId w:val="2"/>
        </w:numPr>
        <w:spacing w:after="70" w:line="280"/>
      </w:pPr>
      <w:r>
        <w:rPr>
          <w:rFonts w:ascii="Calibri" w:cs="Calibri" w:eastAsia="Calibri" w:hAnsi="Calibri"/>
          <w:color w:val="0E1A1C"/>
          <w:sz w:val="21"/>
          <w:szCs w:val="21"/>
        </w:rPr>
        <w:t xml:space="preserve">Vraag om vijf gecombineerde examenvragen te schrijven die twee kennisgebieden vereisen.</w:t>
      </w:r>
    </w:p>
    <w:p>
      <w:pPr>
        <w:pStyle w:val="ListParagraph"/>
        <w:numPr>
          <w:ilvl w:val="0"/>
          <w:numId w:val="2"/>
        </w:numPr>
        <w:spacing w:after="70" w:line="280"/>
      </w:pPr>
      <w:r>
        <w:rPr>
          <w:rFonts w:ascii="Calibri" w:cs="Calibri" w:eastAsia="Calibri" w:hAnsi="Calibri"/>
          <w:color w:val="0E1A1C"/>
          <w:sz w:val="21"/>
          <w:szCs w:val="21"/>
        </w:rPr>
        <w:t xml:space="preserve">Laat het ervaringsdossier van een medecursist beoordelen op de vijf criteria, en de feedback uitwisselen.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Laat het proefexamen in twee helften maken met een pauze ertussen.</w:t>
      </w:r>
    </w:p>
    <w:p>
      <w:pPr>
        <w:pStyle w:val="ListParagraph"/>
        <w:numPr>
          <w:ilvl w:val="0"/>
          <w:numId w:val="2"/>
        </w:numPr>
        <w:spacing w:after="70" w:line="280"/>
      </w:pPr>
      <w:r>
        <w:rPr>
          <w:rFonts w:ascii="Calibri" w:cs="Calibri" w:eastAsia="Calibri" w:hAnsi="Calibri"/>
          <w:color w:val="0E1A1C"/>
          <w:sz w:val="21"/>
          <w:szCs w:val="21"/>
        </w:rPr>
        <w:t xml:space="preserve">Geef bij opdracht 4 de gekozen methode voor; de aannametoetsing is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5 tot twee falsificatietoetsen.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ervaring vraagt Master?"</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Naast de examens een beoordeling van je ervaring. De precieze eisen zijn aangescherpt; controleer ze bij DAMA vóór je indient.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causale inferentie kennen voor het examen?"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begripsniveau, via het kennisgebied Big Data &amp; Data Science. De methoden zelf zijn praktijkkennis en geen examenstof.</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matching gebruiken als ik veel kenmerken heb?"</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als je geen plausibele onwaarneembare factor kunt bedenken. In de portaalcasus kun je die wel bedenken, dus wees voorzichtig.</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de opdrachtgever een causale uitspraak eist?"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Dan geef je het verband, de verklaringen die je niet kunt uitsluiten, en het oordeel dat een oorzakelijke uitspraak niet verdedigbaar is. Daarvoor word je ingehuurd.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niet erkend door DAMA of IAPP;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28 — Examentraining Master en causale analyse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Master en causale analyse — Docentenhandleiding</dc:title>
  <dc:creator>Ductus B.V.</dc:creator>
  <dc:description>Cursusmateriaal datamanagement, data-analyse en data governance</dc:description>
  <cp:lastModifiedBy>Un-named</cp:lastModifiedBy>
  <cp:revision>1</cp:revision>
  <dcterms:created xsi:type="dcterms:W3CDTF">2026-08-05T14:04:35.445Z</dcterms:created>
  <dcterms:modified xsi:type="dcterms:W3CDTF">2026-08-05T14:04:35.445Z</dcterms:modified>
</cp:coreProperties>
</file>

<file path=docProps/custom.xml><?xml version="1.0" encoding="utf-8"?>
<Properties xmlns="http://schemas.openxmlformats.org/officeDocument/2006/custom-properties" xmlns:vt="http://schemas.openxmlformats.org/officeDocument/2006/docPropsVTypes"/>
</file>