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onsolas" w:cs="Consolas" w:eastAsia="Consolas" w:hAnsi="Consolas"/>
          <w:color w:val="3F7D74"/>
          <w:spacing w:val="60"/>
          <w:sz w:val="18"/>
          <w:szCs w:val="18"/>
        </w:rPr>
        <w:t xml:space="preserve">NIVEAU 3 · MEESTERSCHAP · DEEL 28</w:t>
      </w:r>
    </w:p>
    <w:p>
      <w:pPr>
        <w:spacing w:after="120"/>
      </w:pPr>
      <w:r>
        <w:rPr>
          <w:rFonts w:ascii="Cambria" w:cs="Cambria" w:eastAsia="Cambria" w:hAnsi="Cambria"/>
          <w:b/>
          <w:bCs/>
          <w:color w:val="0E1A1C"/>
          <w:sz w:val="56"/>
          <w:szCs w:val="56"/>
        </w:rPr>
        <w:t xml:space="preserve">Examentraining Master en causale analyse</w:t>
      </w:r>
    </w:p>
    <w:p>
      <w:pPr>
        <w:spacing w:after="300"/>
      </w:pPr>
      <w:r>
        <w:rPr>
          <w:rFonts w:ascii="Calibri" w:cs="Calibri" w:eastAsia="Calibri" w:hAnsi="Calibri"/>
          <w:color w:val="5F7375"/>
          <w:sz w:val="26"/>
          <w:szCs w:val="26"/>
        </w:rPr>
        <w:t xml:space="preserve">Deelnemersreader</w:t>
      </w:r>
    </w:p>
    <w:p>
      <w:pPr>
        <w:spacing w:after="40"/>
      </w:pPr>
      <w:r>
        <w:rPr>
          <w:rFonts w:ascii="Consolas" w:cs="Consolas" w:eastAsia="Consolas" w:hAnsi="Consolas"/>
          <w:color w:val="5F7375"/>
          <w:sz w:val="17"/>
          <w:szCs w:val="17"/>
        </w:rPr>
        <w:t xml:space="preserve">STUDIELAST  </w:t>
      </w:r>
      <w:r>
        <w:rPr>
          <w:rFonts w:ascii="Calibri" w:cs="Calibri" w:eastAsia="Calibri" w:hAnsi="Calibri"/>
          <w:b/>
          <w:bCs/>
          <w:color w:val="0E1A1C"/>
          <w:sz w:val="20"/>
          <w:szCs w:val="20"/>
        </w:rPr>
        <w:t xml:space="preserve">± 9 uur (5 uur klassikaal, 4 uur zelfstandig)</w:t>
      </w:r>
    </w:p>
    <w:p>
      <w:pPr>
        <w:spacing w:after="40"/>
      </w:pPr>
      <w:r>
        <w:rPr>
          <w:rFonts w:ascii="Consolas" w:cs="Consolas" w:eastAsia="Consolas" w:hAnsi="Consolas"/>
          <w:color w:val="5F7375"/>
          <w:sz w:val="17"/>
          <w:szCs w:val="17"/>
        </w:rPr>
        <w:t xml:space="preserve">EXAMENDOEL  </w:t>
      </w:r>
      <w:r>
        <w:rPr>
          <w:rFonts w:ascii="Calibri" w:cs="Calibri" w:eastAsia="Calibri" w:hAnsi="Calibri"/>
          <w:b/>
          <w:bCs/>
          <w:color w:val="0E1A1C"/>
          <w:sz w:val="20"/>
          <w:szCs w:val="20"/>
        </w:rPr>
        <w:t xml:space="preserve">CDMP Master · optioneel IAPP AIGP</w:t>
      </w:r>
    </w:p>
    <w:p>
      <w:pPr>
        <w:spacing w:after="40"/>
      </w:pPr>
      <w:r>
        <w:rPr>
          <w:rFonts w:ascii="Consolas" w:cs="Consolas" w:eastAsia="Consolas" w:hAnsi="Consolas"/>
          <w:color w:val="5F7375"/>
          <w:sz w:val="17"/>
          <w:szCs w:val="17"/>
        </w:rPr>
        <w:t xml:space="preserve">MEENEMEN  </w:t>
      </w:r>
      <w:r>
        <w:rPr>
          <w:rFonts w:ascii="Calibri" w:cs="Calibri" w:eastAsia="Calibri" w:hAnsi="Calibri"/>
          <w:b/>
          <w:bCs/>
          <w:color w:val="0E1A1C"/>
          <w:sz w:val="20"/>
          <w:szCs w:val="20"/>
        </w:rPr>
        <w:t xml:space="preserve">Scorerapporten en je ervaringsdossier</w:t>
      </w:r>
    </w:p>
    <w:p>
      <w:pPr>
        <w:spacing w:after="40"/>
      </w:pPr>
      <w:r>
        <w:rPr>
          <w:rFonts w:ascii="Consolas" w:cs="Consolas" w:eastAsia="Consolas" w:hAnsi="Consolas"/>
          <w:color w:val="5F7375"/>
          <w:sz w:val="17"/>
          <w:szCs w:val="17"/>
        </w:rPr>
        <w:t xml:space="preserve">VERSIE  </w:t>
      </w:r>
      <w:r>
        <w:rPr>
          <w:rFonts w:ascii="Calibri" w:cs="Calibri" w:eastAsia="Calibri" w:hAnsi="Calibri"/>
          <w:b/>
          <w:bCs/>
          <w:color w:val="0E1A1C"/>
          <w:sz w:val="20"/>
          <w:szCs w:val="20"/>
        </w:rPr>
        <w:t xml:space="preserve">Augustus 2026</w:t>
      </w:r>
    </w:p>
    <w:p>
      <w:pPr>
        <w:spacing w:after="40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Voorbereiding, geen vervanging</w:t>
            </w:r>
          </w:p>
          <w:p>
            <w:pPr>
              <w:spacing w:after="60" w:line="280"/>
            </w:pPr>
            <w:r>
              <w:rPr>
                <w:rFonts w:ascii="Calibri" w:cs="Calibri" w:eastAsia="Calibri" w:hAnsi="Calibri"/>
                <w:color w:val="0E1A1C"/>
                <w:sz w:val="20"/>
                <w:szCs w:val="20"/>
              </w:rPr>
              <w:t xml:space="preserve">Deze cursusmap is onafhankelijk ontwikkeld door Ductus B.V. Ductus is niet gelieerd aan, geaccrediteerd door of goedgekeurd door DAMA International, IIBA, IAPP, de EDM Association of Microsoft.</w:t>
            </w:r>
          </w:p>
          <w:p>
            <w:pPr>
              <w:spacing w:after="60" w:line="280"/>
            </w:pPr>
            <w:r>
              <w:rPr>
                <w:rFonts w:ascii="Calibri" w:cs="Calibri" w:eastAsia="Calibri" w:hAnsi="Calibri"/>
                <w:color w:val="0E1A1C"/>
                <w:sz w:val="20"/>
                <w:szCs w:val="20"/>
              </w:rPr>
              <w:t xml:space="preserve">Dit materiaal bereidt voor op de genoemde examens en vervangt het officiële examenmateriaal niet. Bodies of knowledge, handboeken en examenblueprints worden hier niet gereproduceerd; deelnemers schaffen die bronnen zelf aan.</w:t>
            </w:r>
          </w:p>
          <w:p>
            <w:pPr>
              <w:spacing w:after="60" w:line="280"/>
            </w:pPr>
            <w:r>
              <w:rPr>
                <w:rFonts w:ascii="Calibri" w:cs="Calibri" w:eastAsia="Calibri" w:hAnsi="Calibri"/>
                <w:color w:val="0E1A1C"/>
                <w:sz w:val="20"/>
                <w:szCs w:val="20"/>
              </w:rPr>
              <w:t xml:space="preserve">Alle genoemde merken zijn eigendom van hun respectieve houders. Examengegevens gecontroleerd in augustus 2026 — verifieer vóór inschrijving bij de bron.</w:t>
            </w:r>
          </w:p>
        </w:tc>
      </w:tr>
    </w:tbl>
    <w:p>
      <w:pPr>
        <w:spacing w:after="12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Controleer de eisen bij de bron</w:t>
            </w:r>
          </w:p>
          <w:p>
            <w:pPr>
              <w:spacing w:after="60" w:line="280"/>
            </w:pPr>
            <w:r>
              <w:rPr>
                <w:rFonts w:ascii="Calibri" w:cs="Calibri" w:eastAsia="Calibri" w:hAnsi="Calibri"/>
                <w:color w:val="0E1A1C"/>
                <w:sz w:val="20"/>
                <w:szCs w:val="20"/>
              </w:rPr>
              <w:t xml:space="preserve">De eisen voor CDMP Master — het aantal examens, de scoregrens en de ervaringsbeoordeling — zijn de afgelopen jaren aangescherpt. De gegevens in dit deel zijn gecontroleerd in augustus 2026. Verifieer ze op cdmp.info en dama.org vóórdat je je inschrijft of je dossier indient.</w:t>
            </w:r>
          </w:p>
        </w:tc>
      </w:tr>
    </w:tbl>
    <w:p>
      <w:r>
        <w:br w:type="page"/>
      </w:r>
    </w:p>
    <w:p>
      <w:pPr>
        <w:pStyle w:val="Heading1"/>
        <w:spacing w:after="200" w:before="420"/>
      </w:pPr>
      <w:r>
        <w:rPr>
          <w:rFonts w:ascii="Cambria" w:cs="Cambria" w:eastAsia="Cambria" w:hAnsi="Cambria"/>
          <w:b/>
          <w:bCs/>
          <w:color w:val="1B4A48"/>
          <w:sz w:val="34"/>
          <w:szCs w:val="34"/>
        </w:rPr>
        <w:t xml:space="preserve">1. Waar dit deel over gaat</w:t>
      </w:r>
    </w:p>
    <w:p>
      <w:pPr>
        <w:spacing w:after="140" w:line="288"/>
      </w:pPr>
      <w:r>
        <w:rPr>
          <w:rFonts w:ascii="Calibri" w:cs="Calibri" w:eastAsia="Calibri" w:hAnsi="Calibri"/>
          <w:color w:val="0E1A1C"/>
          <w:sz w:val="21"/>
          <w:szCs w:val="21"/>
        </w:rPr>
        <w:t xml:space="preserve">Twee dingen die weinig met elkaar te maken hebben en die op dit niveau samenvallen. Het eerste is de laatste stap in de certificeringsroute: van Practitioner naar Master, wat neerkomt op tachtig procent op drie examens plus een beoordeling van je ervaring. Het tweede is de analysevaardigheid die op dit niveau wordt verwacht en die in deel 18 bewust is uitgesteld: causale uitspraken doen wanneer experimenteren niet kan.</w:t>
      </w:r>
    </w:p>
    <w:p>
      <w:pPr>
        <w:spacing w:after="140" w:line="288"/>
      </w:pPr>
      <w:r>
        <w:rPr>
          <w:rFonts w:ascii="Calibri" w:cs="Calibri" w:eastAsia="Calibri" w:hAnsi="Calibri"/>
          <w:color w:val="0E1A1C"/>
          <w:sz w:val="21"/>
          <w:szCs w:val="21"/>
        </w:rPr>
        <w:t xml:space="preserve">Die combinatie is niet willekeurig. Op Master-niveau wordt van je verwacht dat je een uitspraak over oorzaak en gevolg kunt onderbouwen én dat je weet wanneer je hem níét moet doen. Dat laatste is zeldzamer en waardevoller.</w:t>
      </w:r>
    </w:p>
    <w:p>
      <w:pPr>
        <w:pStyle w:val="Heading3"/>
        <w:spacing w:after="100" w:before="240"/>
      </w:pPr>
      <w:r>
        <w:rPr>
          <w:rFonts w:ascii="Calibri" w:cs="Calibri" w:eastAsia="Calibri" w:hAnsi="Calibri"/>
          <w:b/>
          <w:bCs/>
          <w:color w:val="3F7D74"/>
          <w:sz w:val="22"/>
          <w:szCs w:val="22"/>
        </w:rPr>
        <w:t xml:space="preserve">Leerdoelen</w:t>
      </w:r>
    </w:p>
    <w:p>
      <w:pPr>
        <w:pStyle w:val="ListParagraph"/>
        <w:numPr>
          <w:ilvl w:val="0"/>
          <w:numId w:val="2"/>
        </w:numPr>
        <w:spacing w:after="70" w:line="280"/>
      </w:pPr>
      <w:r>
        <w:rPr>
          <w:rFonts w:ascii="Calibri" w:cs="Calibri" w:eastAsia="Calibri" w:hAnsi="Calibri"/>
          <w:color w:val="0E1A1C"/>
          <w:sz w:val="21"/>
          <w:szCs w:val="21"/>
        </w:rPr>
        <w:t xml:space="preserve">Je bepaalt waar de tien procentpunt van 70 naar 80 liggen en in welke volgorde je ze ophaalt.</w:t>
      </w:r>
    </w:p>
    <w:p>
      <w:pPr>
        <w:pStyle w:val="ListParagraph"/>
        <w:numPr>
          <w:ilvl w:val="0"/>
          <w:numId w:val="2"/>
        </w:numPr>
        <w:spacing w:after="70" w:line="280"/>
      </w:pPr>
      <w:r>
        <w:rPr>
          <w:rFonts w:ascii="Calibri" w:cs="Calibri" w:eastAsia="Calibri" w:hAnsi="Calibri"/>
          <w:color w:val="0E1A1C"/>
          <w:sz w:val="21"/>
          <w:szCs w:val="21"/>
        </w:rPr>
        <w:t xml:space="preserve">Je stelt een ervaringsdossier samen dat op de beoordelingscriteria aansluit.</w:t>
      </w:r>
    </w:p>
    <w:p>
      <w:pPr>
        <w:pStyle w:val="ListParagraph"/>
        <w:numPr>
          <w:ilvl w:val="0"/>
          <w:numId w:val="2"/>
        </w:numPr>
        <w:spacing w:after="70" w:line="280"/>
      </w:pPr>
      <w:r>
        <w:rPr>
          <w:rFonts w:ascii="Calibri" w:cs="Calibri" w:eastAsia="Calibri" w:hAnsi="Calibri"/>
          <w:color w:val="0E1A1C"/>
          <w:sz w:val="21"/>
          <w:szCs w:val="21"/>
        </w:rPr>
        <w:t xml:space="preserve">Je kiest tussen vier quasi-experimentele methoden op grond van de situatie.</w:t>
      </w:r>
    </w:p>
    <w:p>
      <w:pPr>
        <w:pStyle w:val="ListParagraph"/>
        <w:numPr>
          <w:ilvl w:val="0"/>
          <w:numId w:val="2"/>
        </w:numPr>
        <w:spacing w:after="70" w:line="280"/>
      </w:pPr>
      <w:r>
        <w:rPr>
          <w:rFonts w:ascii="Calibri" w:cs="Calibri" w:eastAsia="Calibri" w:hAnsi="Calibri"/>
          <w:color w:val="0E1A1C"/>
          <w:sz w:val="21"/>
          <w:szCs w:val="21"/>
        </w:rPr>
        <w:t xml:space="preserve">Je benoemt per methode de aanname die hem draagt en toetst die.</w:t>
      </w:r>
    </w:p>
    <w:p>
      <w:pPr>
        <w:pStyle w:val="ListParagraph"/>
        <w:numPr>
          <w:ilvl w:val="0"/>
          <w:numId w:val="2"/>
        </w:numPr>
        <w:spacing w:after="70" w:line="280"/>
      </w:pPr>
      <w:r>
        <w:rPr>
          <w:rFonts w:ascii="Calibri" w:cs="Calibri" w:eastAsia="Calibri" w:hAnsi="Calibri"/>
          <w:color w:val="0E1A1C"/>
          <w:sz w:val="21"/>
          <w:szCs w:val="21"/>
        </w:rPr>
        <w:t xml:space="preserve">Je leest een causaal diagram en gebruikt het om te bepalen waarop je moet corrigeren.</w:t>
      </w:r>
    </w:p>
    <w:p>
      <w:pPr>
        <w:pStyle w:val="ListParagraph"/>
        <w:numPr>
          <w:ilvl w:val="0"/>
          <w:numId w:val="2"/>
        </w:numPr>
        <w:spacing w:after="70" w:line="280"/>
      </w:pPr>
      <w:r>
        <w:rPr>
          <w:rFonts w:ascii="Calibri" w:cs="Calibri" w:eastAsia="Calibri" w:hAnsi="Calibri"/>
          <w:color w:val="0E1A1C"/>
          <w:sz w:val="21"/>
          <w:szCs w:val="21"/>
        </w:rPr>
        <w:t xml:space="preserve">Je herkent wanneer geen enkele methode een causale uitspraak toelaat.</w:t>
      </w:r>
    </w:p>
    <w:p>
      <w:pPr>
        <w:pStyle w:val="ListParagraph"/>
        <w:numPr>
          <w:ilvl w:val="0"/>
          <w:numId w:val="2"/>
        </w:numPr>
        <w:spacing w:after="70" w:line="280"/>
      </w:pPr>
      <w:r>
        <w:rPr>
          <w:rFonts w:ascii="Calibri" w:cs="Calibri" w:eastAsia="Calibri" w:hAnsi="Calibri"/>
          <w:color w:val="0E1A1C"/>
          <w:sz w:val="21"/>
          <w:szCs w:val="21"/>
        </w:rPr>
        <w:t xml:space="preserve">Je plant Master en de optionele AIGP zonder dat het ene het andere verdringt.</w:t>
      </w:r>
    </w:p>
    <w:p>
      <w:r>
        <w:br w:type="page"/>
      </w:r>
    </w:p>
    <w:p>
      <w:pPr>
        <w:pStyle w:val="Heading1"/>
        <w:spacing w:after="200" w:before="420"/>
      </w:pPr>
      <w:r>
        <w:rPr>
          <w:rFonts w:ascii="Cambria" w:cs="Cambria" w:eastAsia="Cambria" w:hAnsi="Cambria"/>
          <w:b/>
          <w:bCs/>
          <w:color w:val="1B4A48"/>
          <w:sz w:val="34"/>
          <w:szCs w:val="34"/>
        </w:rPr>
        <w:t xml:space="preserve">2. Van 70 naar 80</w:t>
      </w:r>
    </w:p>
    <w:p>
      <w:pPr>
        <w:spacing w:after="140" w:line="288"/>
      </w:pPr>
      <w:r>
        <w:rPr>
          <w:rFonts w:ascii="Calibri" w:cs="Calibri" w:eastAsia="Calibri" w:hAnsi="Calibri"/>
          <w:color w:val="0E1A1C"/>
          <w:sz w:val="21"/>
          <w:szCs w:val="21"/>
        </w:rPr>
        <w:t xml:space="preserve">Tien procentpunt op drie examens is een andere opgave dan de acht van deel 20. Waar die acht grotendeels uit tempo en leesfouten kwamen, komen deze tien vrijwel geheel uit kennis — want tempo en lezen heb je bij Practitioner al opgelost.</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2400"/>
        <w:gridCol w:w="3200"/>
        <w:gridCol w:w="3420"/>
      </w:tblGrid>
      <w:tr>
        <w:trPr>
          <w:tblHeader/>
        </w:trPr>
        <w:tc>
          <w:tcPr>
            <w:tcW w:type="dxa" w:w="24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Bron van punten</w:t>
            </w:r>
          </w:p>
        </w:tc>
        <w:tc>
          <w:tcPr>
            <w:tcW w:type="dxa" w:w="32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Bij 60 naar 70</w:t>
            </w:r>
          </w:p>
        </w:tc>
        <w:tc>
          <w:tcPr>
            <w:tcW w:type="dxa" w:w="34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Bij 70 naar 80</w:t>
            </w:r>
          </w:p>
        </w:tc>
      </w:tr>
      <w:tr>
        <w:tc>
          <w:tcPr>
            <w:tcW w:type="dxa" w:w="2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Tempo</w:t>
            </w:r>
          </w:p>
        </w:tc>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Vaak een derde</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Vrijwel niets — dat is al opgelost</w:t>
            </w:r>
          </w:p>
        </w:tc>
      </w:tr>
      <w:tr>
        <w:tc>
          <w:tcPr>
            <w:tcW w:type="dxa" w:w="2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Leesfouten</w:t>
            </w:r>
          </w:p>
        </w:tc>
        <w:tc>
          <w:tcPr>
            <w:tcW w:type="dxa" w:w="3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Een kwart</w:t>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Enkele punten, bij negatieve en best-vragen</w:t>
            </w:r>
          </w:p>
        </w:tc>
      </w:tr>
      <w:tr>
        <w:tc>
          <w:tcPr>
            <w:tcW w:type="dxa" w:w="2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Randgebieden</w:t>
            </w:r>
          </w:p>
        </w:tc>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Weinig</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Het grootste deel: de gebieden die je op 60% liet liggen</w:t>
            </w:r>
          </w:p>
        </w:tc>
      </w:tr>
      <w:tr>
        <w:tc>
          <w:tcPr>
            <w:tcW w:type="dxa" w:w="2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Diepte</w:t>
            </w:r>
          </w:p>
        </w:tc>
        <w:tc>
          <w:tcPr>
            <w:tcW w:type="dxa" w:w="3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Nauwelijks</w:t>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Aanzienlijk: onderscheidingen die op Associate-niveau niet werden getoetst</w:t>
            </w:r>
          </w:p>
        </w:tc>
      </w:tr>
    </w:tbl>
    <w:p>
      <w:pPr>
        <w:spacing w:after="140"/>
      </w:pPr>
      <w:r>
        <w:t xml:space="preserve"/>
      </w:r>
    </w:p>
    <w:p>
      <w:pPr>
        <w:spacing w:after="140" w:line="288"/>
      </w:pPr>
      <w:r>
        <w:rPr>
          <w:rFonts w:ascii="Calibri" w:cs="Calibri" w:eastAsia="Calibri" w:hAnsi="Calibri"/>
          <w:color w:val="0E1A1C"/>
          <w:sz w:val="21"/>
          <w:szCs w:val="21"/>
        </w:rPr>
        <w:t xml:space="preserve">De praktische consequentie: op dit niveau helpt bijstuderen wél, en het richt zich op de gebieden die je eerder bewust hebt laten liggen. Het klassieke patroon is dat iemand Practitioner haalde met sterke scores op zijn twee specialismen en zwakke op de rest. Voor Master moet die rest omhoog — en dat is minder leuk werk dan verdiepen waar je al goed in bent.</w:t>
      </w:r>
    </w:p>
    <w:p>
      <w:pPr>
        <w:pStyle w:val="Heading3"/>
        <w:spacing w:after="100" w:before="240"/>
      </w:pPr>
      <w:r>
        <w:rPr>
          <w:rFonts w:ascii="Calibri" w:cs="Calibri" w:eastAsia="Calibri" w:hAnsi="Calibri"/>
          <w:b/>
          <w:bCs/>
          <w:color w:val="3F7D74"/>
          <w:sz w:val="22"/>
          <w:szCs w:val="22"/>
        </w:rPr>
        <w:t xml:space="preserve">Waar de diepte zit</w:t>
      </w:r>
    </w:p>
    <w:p>
      <w:pPr>
        <w:pStyle w:val="ListParagraph"/>
        <w:numPr>
          <w:ilvl w:val="0"/>
          <w:numId w:val="3"/>
        </w:numPr>
        <w:spacing w:after="70" w:line="280"/>
      </w:pPr>
      <w:r>
        <w:rPr>
          <w:rFonts w:ascii="Calibri" w:cs="Calibri" w:eastAsia="Calibri" w:hAnsi="Calibri"/>
          <w:color w:val="0E1A1C"/>
          <w:sz w:val="21"/>
          <w:szCs w:val="21"/>
        </w:rPr>
        <w:t xml:space="preserve">Onderscheidingen die op Associate-niveau als synoniem konden gelden: registry versus consolidation, validity versus accuracy versus conformity, business lineage versus provenance.</w:t>
      </w:r>
    </w:p>
    <w:p>
      <w:pPr>
        <w:pStyle w:val="ListParagraph"/>
        <w:numPr>
          <w:ilvl w:val="0"/>
          <w:numId w:val="3"/>
        </w:numPr>
        <w:spacing w:after="70" w:line="280"/>
      </w:pPr>
      <w:r>
        <w:rPr>
          <w:rFonts w:ascii="Calibri" w:cs="Calibri" w:eastAsia="Calibri" w:hAnsi="Calibri"/>
          <w:color w:val="0E1A1C"/>
          <w:sz w:val="21"/>
          <w:szCs w:val="21"/>
        </w:rPr>
        <w:t xml:space="preserve">Volgorde en afhankelijkheid: welke stap komt vóór welke, en wat gebeurt er als je ze omdraait.</w:t>
      </w:r>
    </w:p>
    <w:p>
      <w:pPr>
        <w:pStyle w:val="ListParagraph"/>
        <w:numPr>
          <w:ilvl w:val="0"/>
          <w:numId w:val="3"/>
        </w:numPr>
        <w:spacing w:after="70" w:line="280"/>
      </w:pPr>
      <w:r>
        <w:rPr>
          <w:rFonts w:ascii="Calibri" w:cs="Calibri" w:eastAsia="Calibri" w:hAnsi="Calibri"/>
          <w:color w:val="0E1A1C"/>
          <w:sz w:val="21"/>
          <w:szCs w:val="21"/>
        </w:rPr>
        <w:t xml:space="preserve">Uitzonderingen op vuistregels. Op Associate-niveau leer je de regel; op Master-niveau wordt gevraagd wanneer hij niet geldt.</w:t>
      </w:r>
    </w:p>
    <w:p>
      <w:pPr>
        <w:pStyle w:val="ListParagraph"/>
        <w:numPr>
          <w:ilvl w:val="0"/>
          <w:numId w:val="3"/>
        </w:numPr>
        <w:spacing w:after="70" w:line="280"/>
      </w:pPr>
      <w:r>
        <w:rPr>
          <w:rFonts w:ascii="Calibri" w:cs="Calibri" w:eastAsia="Calibri" w:hAnsi="Calibri"/>
          <w:color w:val="0E1A1C"/>
          <w:sz w:val="21"/>
          <w:szCs w:val="21"/>
        </w:rPr>
        <w:t xml:space="preserve">De relatie tussen kennisgebieden. Vragen die twee gebieden combineren, zijn oververtegenwoordigd in de bovenste band.</w:t>
      </w:r>
    </w:p>
    <w:p>
      <w:pPr>
        <w:pStyle w:val="Heading1"/>
        <w:spacing w:after="200" w:before="420"/>
      </w:pPr>
      <w:r>
        <w:rPr>
          <w:rFonts w:ascii="Cambria" w:cs="Cambria" w:eastAsia="Cambria" w:hAnsi="Cambria"/>
          <w:b/>
          <w:bCs/>
          <w:color w:val="1B4A48"/>
          <w:sz w:val="34"/>
          <w:szCs w:val="34"/>
        </w:rPr>
        <w:t xml:space="preserve">3. De ervaringsbeoordeling</w:t>
      </w:r>
    </w:p>
    <w:p>
      <w:pPr>
        <w:spacing w:after="140" w:line="288"/>
      </w:pPr>
      <w:r>
        <w:rPr>
          <w:rFonts w:ascii="Calibri" w:cs="Calibri" w:eastAsia="Calibri" w:hAnsi="Calibri"/>
          <w:color w:val="0E1A1C"/>
          <w:sz w:val="21"/>
          <w:szCs w:val="21"/>
        </w:rPr>
        <w:t xml:space="preserve">Naast de examens vraagt Master een beoordeling van je ervaring. Wat er precies wordt gevraagd, staat bij DAMA; wat een beoordelaar zoekt, is redelijk voorspelbaar.</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2400"/>
        <w:gridCol w:w="3200"/>
        <w:gridCol w:w="3420"/>
      </w:tblGrid>
      <w:tr>
        <w:trPr>
          <w:tblHeader/>
        </w:trPr>
        <w:tc>
          <w:tcPr>
            <w:tcW w:type="dxa" w:w="24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Wat een beoordelaar zoekt</w:t>
            </w:r>
          </w:p>
        </w:tc>
        <w:tc>
          <w:tcPr>
            <w:tcW w:type="dxa" w:w="32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Wat er meestal wordt ingediend</w:t>
            </w:r>
          </w:p>
        </w:tc>
        <w:tc>
          <w:tcPr>
            <w:tcW w:type="dxa" w:w="34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Wat beter werkt</w:t>
            </w:r>
          </w:p>
        </w:tc>
      </w:tr>
      <w:tr>
        <w:tc>
          <w:tcPr>
            <w:tcW w:type="dxa" w:w="2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Breedte over kennisgebieden</w:t>
            </w:r>
          </w:p>
        </w:tc>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Drie opdrachten in hetzelfde gebied</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Vijf tot acht opdrachten die samen minstens zes gebieden raken</w:t>
            </w:r>
          </w:p>
        </w:tc>
      </w:tr>
      <w:tr>
        <w:tc>
          <w:tcPr>
            <w:tcW w:type="dxa" w:w="2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Diepte binnen een specialisme</w:t>
            </w:r>
          </w:p>
        </w:tc>
        <w:tc>
          <w:tcPr>
            <w:tcW w:type="dxa" w:w="3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Een lijst met projectnamen</w:t>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Eén opdracht volledig uitgewerkt, met het genomen besluit</w:t>
            </w:r>
          </w:p>
        </w:tc>
      </w:tr>
      <w:tr>
        <w:tc>
          <w:tcPr>
            <w:tcW w:type="dxa" w:w="2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Eigen bijdrage</w:t>
            </w:r>
          </w:p>
        </w:tc>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"Wij hebben..." over een teamresultaat</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Wat jij deed, met wat er zonder jou anders was gegaan</w:t>
            </w:r>
          </w:p>
        </w:tc>
      </w:tr>
      <w:tr>
        <w:tc>
          <w:tcPr>
            <w:tcW w:type="dxa" w:w="2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Effect</w:t>
            </w:r>
          </w:p>
        </w:tc>
        <w:tc>
          <w:tcPr>
            <w:tcW w:type="dxa" w:w="3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Wat er is opgeleverd</w:t>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Welk besluit erop is genomen en wat er daarna veranderde</w:t>
            </w:r>
          </w:p>
        </w:tc>
      </w:tr>
      <w:tr>
        <w:tc>
          <w:tcPr>
            <w:tcW w:type="dxa" w:w="2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Reflectie</w:t>
            </w:r>
          </w:p>
        </w:tc>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Uitsluitend geslaagde opdrachten</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Ook één die niet liep, met wat je eruit hebt geleerd</w:t>
            </w:r>
          </w:p>
        </w:tc>
      </w:tr>
    </w:tbl>
    <w:p>
      <w:pPr>
        <w:spacing w:after="14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De laatste rij is de onderschatte</w:t>
            </w:r>
          </w:p>
          <w:p>
            <w:pPr>
              <w:spacing w:after="60" w:line="280"/>
            </w:pPr>
            <w:r>
              <w:rPr>
                <w:rFonts w:ascii="Calibri" w:cs="Calibri" w:eastAsia="Calibri" w:hAnsi="Calibri"/>
                <w:color w:val="0E1A1C"/>
                <w:sz w:val="20"/>
                <w:szCs w:val="20"/>
              </w:rPr>
              <w:t xml:space="preserve">Een dossier met uitsluitend geslaagde opdrachten leest als een verkooppraatje. Eén opdracht die niet liep, met een eerlijke analyse van waarom, doet meer voor je geloofwaardigheid dan een zesde succes. De capstone uit deel 21 en de masterproef uit deel 29 zijn hiervoor geschikt, mits je de panelvragen erbij bewaart.</w:t>
            </w:r>
          </w:p>
        </w:tc>
      </w:tr>
    </w:tbl>
    <w:p>
      <w:pPr>
        <w:pStyle w:val="Heading1"/>
        <w:spacing w:after="200" w:before="420"/>
      </w:pPr>
      <w:r>
        <w:rPr>
          <w:rFonts w:ascii="Cambria" w:cs="Cambria" w:eastAsia="Cambria" w:hAnsi="Cambria"/>
          <w:b/>
          <w:bCs/>
          <w:color w:val="1B4A48"/>
          <w:sz w:val="34"/>
          <w:szCs w:val="34"/>
        </w:rPr>
        <w:t xml:space="preserve">4. Causale uitspraken zonder experiment</w:t>
      </w:r>
    </w:p>
    <w:p>
      <w:pPr>
        <w:spacing w:after="140" w:line="288"/>
      </w:pPr>
      <w:r>
        <w:rPr>
          <w:rFonts w:ascii="Calibri" w:cs="Calibri" w:eastAsia="Calibri" w:hAnsi="Calibri"/>
          <w:color w:val="0E1A1C"/>
          <w:sz w:val="21"/>
          <w:szCs w:val="21"/>
        </w:rPr>
        <w:t xml:space="preserve">In deel 18 was het experiment de enige manier om een oorzakelijke uitspraak te doen. Dat klopt en het is onvolledig: er bestaan methoden voor situaties waarin experimenteren niet kan, en op Master-niveau wordt verwacht dat je ze kent — inclusief hun aannames.</w:t>
      </w:r>
    </w:p>
    <w:p>
      <w:pPr>
        <w:spacing w:after="140" w:line="288"/>
      </w:pPr>
      <w:r>
        <w:rPr>
          <w:rFonts w:ascii="Calibri" w:cs="Calibri" w:eastAsia="Calibri" w:hAnsi="Calibri"/>
          <w:color w:val="0E1A1C"/>
          <w:sz w:val="21"/>
          <w:szCs w:val="21"/>
        </w:rPr>
        <w:t xml:space="preserve">Bij de gefuseerde organisatie is de aanleiding concreet: heeft het nieuwe deelnemersportaal geleid tot minder telefoontjes, of zou dat toch al zijn gebeurd? Randomiseren kan niet — het portaal is voor iedereen tegelijk uitgerold.</w:t>
      </w:r>
    </w:p>
    <w:p>
      <w:r>
        <w:br w:type="page"/>
      </w:r>
    </w:p>
    <w:p>
      <w:pPr>
        <w:pStyle w:val="Heading1"/>
        <w:spacing w:after="200" w:before="420"/>
      </w:pPr>
      <w:r>
        <w:rPr>
          <w:rFonts w:ascii="Cambria" w:cs="Cambria" w:eastAsia="Cambria" w:hAnsi="Cambria"/>
          <w:b/>
          <w:bCs/>
          <w:color w:val="1B4A48"/>
          <w:sz w:val="34"/>
          <w:szCs w:val="34"/>
        </w:rPr>
        <w:t xml:space="preserve">5. Vier methoden</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2000"/>
        <w:gridCol w:w="2900"/>
        <w:gridCol w:w="2100"/>
        <w:gridCol w:w="2020"/>
      </w:tblGrid>
      <w:tr>
        <w:trPr>
          <w:tblHeader/>
        </w:trPr>
        <w:tc>
          <w:tcPr>
            <w:tcW w:type="dxa" w:w="20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Methode</w:t>
            </w:r>
          </w:p>
        </w:tc>
        <w:tc>
          <w:tcPr>
            <w:tcW w:type="dxa" w:w="29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Wat het doet</w:t>
            </w:r>
          </w:p>
        </w:tc>
        <w:tc>
          <w:tcPr>
            <w:tcW w:type="dxa" w:w="21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Vereist</w:t>
            </w:r>
          </w:p>
        </w:tc>
        <w:tc>
          <w:tcPr>
            <w:tcW w:type="dxa" w:w="20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Dragende aanname</w:t>
            </w:r>
          </w:p>
        </w:tc>
      </w:tr>
      <w:tr>
        <w:tc>
          <w:tcPr>
            <w:tcW w:type="dxa" w:w="20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Verschil-in-verschillen</w:t>
            </w:r>
          </w:p>
        </w:tc>
        <w:tc>
          <w:tcPr>
            <w:tcW w:type="dxa" w:w="2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Vergelijkt de verandering bij een behandelde groep met die bij een onbehandelde groep</w:t>
            </w:r>
          </w:p>
        </w:tc>
        <w:tc>
          <w:tcPr>
            <w:tcW w:type="dxa" w:w="21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Een vergelijkbare groep die de interventie niet kreeg, en metingen vóór en na</w:t>
            </w:r>
          </w:p>
        </w:tc>
        <w:tc>
          <w:tcPr>
            <w:tcW w:type="dxa" w:w="20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Zonder interventie zouden beide groepen dezelfde ontwikkeling hebben doorgemaakt</w:t>
            </w:r>
          </w:p>
        </w:tc>
      </w:tr>
      <w:tr>
        <w:tc>
          <w:tcPr>
            <w:tcW w:type="dxa" w:w="20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Regressiediscontinuïteit</w:t>
            </w:r>
          </w:p>
        </w:tc>
        <w:tc>
          <w:tcPr>
            <w:tcW w:type="dxa" w:w="2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Vergelijkt net boven en net onder een scherpe grens</w:t>
            </w:r>
          </w:p>
        </w:tc>
        <w:tc>
          <w:tcPr>
            <w:tcW w:type="dxa" w:w="21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Een harde drempel waaraan de interventie hangt</w:t>
            </w:r>
          </w:p>
        </w:tc>
        <w:tc>
          <w:tcPr>
            <w:tcW w:type="dxa" w:w="20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Rond de grens zijn de groepen verder vergelijkbaar en manipuleert niemand zijn positie</w:t>
            </w:r>
          </w:p>
        </w:tc>
      </w:tr>
      <w:tr>
        <w:tc>
          <w:tcPr>
            <w:tcW w:type="dxa" w:w="20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Instrumentele variabele</w:t>
            </w:r>
          </w:p>
        </w:tc>
        <w:tc>
          <w:tcPr>
            <w:tcW w:type="dxa" w:w="2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Gebruikt een factor die wel de behandeling beïnvloedt maar niet de uitkomst</w:t>
            </w:r>
          </w:p>
        </w:tc>
        <w:tc>
          <w:tcPr>
            <w:tcW w:type="dxa" w:w="21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Zo’n factor, en die is zeldzaam</w:t>
            </w:r>
          </w:p>
        </w:tc>
        <w:tc>
          <w:tcPr>
            <w:tcW w:type="dxa" w:w="20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Het instrument werkt uitsluitend via de behandeling</w:t>
            </w:r>
          </w:p>
        </w:tc>
      </w:tr>
      <w:tr>
        <w:tc>
          <w:tcPr>
            <w:tcW w:type="dxa" w:w="20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Matching</w:t>
            </w:r>
          </w:p>
        </w:tc>
        <w:tc>
          <w:tcPr>
            <w:tcW w:type="dxa" w:w="2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Vergelijkt behandelde met sterk gelijkende onbehandelde eenheden</w:t>
            </w:r>
          </w:p>
        </w:tc>
        <w:tc>
          <w:tcPr>
            <w:tcW w:type="dxa" w:w="21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Voldoende waarneembare kenmerken</w:t>
            </w:r>
          </w:p>
        </w:tc>
        <w:tc>
          <w:tcPr>
            <w:tcW w:type="dxa" w:w="20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Er zijn geen onwaarneembare verschillen die zowel behandeling als uitkomst bepalen</w:t>
            </w:r>
          </w:p>
        </w:tc>
      </w:tr>
    </w:tbl>
    <w:p>
      <w:pPr>
        <w:spacing w:after="140"/>
      </w:pPr>
      <w:r>
        <w:t xml:space="preserve"/>
      </w:r>
    </w:p>
    <w:p>
      <w:pPr>
        <w:spacing w:after="140" w:line="288"/>
      </w:pPr>
      <w:r>
        <w:rPr>
          <w:rFonts w:ascii="Calibri" w:cs="Calibri" w:eastAsia="Calibri" w:hAnsi="Calibri"/>
          <w:color w:val="0E1A1C"/>
          <w:sz w:val="21"/>
          <w:szCs w:val="21"/>
        </w:rPr>
        <w:t xml:space="preserve">De laatste kolom is de hele methode. Elk van deze technieken is rekenkundig eenvoudig en staat of valt met een aanname die je niet kunt bewijzen. De vaardigheid op dit niveau is niet het uitvoeren van de berekening maar het beoordelen van die aanname — en het eerlijk rapporteren wanneer hij wankel is.</w:t>
      </w:r>
    </w:p>
    <w:p>
      <w:pPr>
        <w:pStyle w:val="Heading3"/>
        <w:spacing w:after="100" w:before="240"/>
      </w:pPr>
      <w:r>
        <w:rPr>
          <w:rFonts w:ascii="Calibri" w:cs="Calibri" w:eastAsia="Calibri" w:hAnsi="Calibri"/>
          <w:b/>
          <w:bCs/>
          <w:color w:val="3F7D74"/>
          <w:sz w:val="22"/>
          <w:szCs w:val="22"/>
        </w:rPr>
        <w:t xml:space="preserve">Toepassing op de portaalvraag</w:t>
      </w:r>
    </w:p>
    <w:p>
      <w:pPr>
        <w:pStyle w:val="ListParagraph"/>
        <w:numPr>
          <w:ilvl w:val="0"/>
          <w:numId w:val="3"/>
        </w:numPr>
        <w:spacing w:after="70" w:line="280"/>
      </w:pPr>
      <w:r>
        <w:rPr>
          <w:rFonts w:ascii="Calibri" w:cs="Calibri" w:eastAsia="Calibri" w:hAnsi="Calibri"/>
          <w:color w:val="0E1A1C"/>
          <w:sz w:val="21"/>
          <w:szCs w:val="21"/>
        </w:rPr>
        <w:t xml:space="preserve">Verschil-in-verschillen kan, mits er een groep is die het portaal niet kreeg. Bij de fusie is die er: de deelnemers uit de Nautilus-portefeuille zijn later aangesloten. Toets dan wel of beide groepen vóór de uitrol dezelfde ontwikkeling lieten zien.</w:t>
      </w:r>
    </w:p>
    <w:p>
      <w:pPr>
        <w:pStyle w:val="ListParagraph"/>
        <w:numPr>
          <w:ilvl w:val="0"/>
          <w:numId w:val="3"/>
        </w:numPr>
        <w:spacing w:after="70" w:line="280"/>
      </w:pPr>
      <w:r>
        <w:rPr>
          <w:rFonts w:ascii="Calibri" w:cs="Calibri" w:eastAsia="Calibri" w:hAnsi="Calibri"/>
          <w:color w:val="0E1A1C"/>
          <w:sz w:val="21"/>
          <w:szCs w:val="21"/>
        </w:rPr>
        <w:t xml:space="preserve">Regressiediscontinuïteit kan als de uitrol aan een harde grens hing, bijvoorbeeld een geboortejaar of een deelnemernummerreeks. Dat is bij Meridiaan niet zo, dus deze methode valt af.</w:t>
      </w:r>
    </w:p>
    <w:p>
      <w:pPr>
        <w:pStyle w:val="ListParagraph"/>
        <w:numPr>
          <w:ilvl w:val="0"/>
          <w:numId w:val="3"/>
        </w:numPr>
        <w:spacing w:after="70" w:line="280"/>
      </w:pPr>
      <w:r>
        <w:rPr>
          <w:rFonts w:ascii="Calibri" w:cs="Calibri" w:eastAsia="Calibri" w:hAnsi="Calibri"/>
          <w:color w:val="0E1A1C"/>
          <w:sz w:val="21"/>
          <w:szCs w:val="21"/>
        </w:rPr>
        <w:t xml:space="preserve">Een instrumentele variabele zou een factor zijn die het portaalgebruik beïnvloedt maar het belgedrag niet — bijvoorbeeld een technische storing bij één provider. Zeldzaam, en de aanname is hier moeilijk te verdedigen.</w:t>
      </w:r>
    </w:p>
    <w:p>
      <w:pPr>
        <w:pStyle w:val="ListParagraph"/>
        <w:numPr>
          <w:ilvl w:val="0"/>
          <w:numId w:val="3"/>
        </w:numPr>
        <w:spacing w:after="70" w:line="280"/>
      </w:pPr>
      <w:r>
        <w:rPr>
          <w:rFonts w:ascii="Calibri" w:cs="Calibri" w:eastAsia="Calibri" w:hAnsi="Calibri"/>
          <w:color w:val="0E1A1C"/>
          <w:sz w:val="21"/>
          <w:szCs w:val="21"/>
        </w:rPr>
        <w:t xml:space="preserve">Matching kan op leeftijd, sector en historisch belgedrag. De aanname is dat er geen onwaarneembaar verschil is — en digitale vaardigheid is precies zo’n verschil, dus wees hier voorzichtig.</w:t>
      </w:r>
    </w:p>
    <w:p>
      <w:pPr>
        <w:pStyle w:val="Heading1"/>
        <w:spacing w:after="200" w:before="420"/>
      </w:pPr>
      <w:r>
        <w:rPr>
          <w:rFonts w:ascii="Cambria" w:cs="Cambria" w:eastAsia="Cambria" w:hAnsi="Cambria"/>
          <w:b/>
          <w:bCs/>
          <w:color w:val="1B4A48"/>
          <w:sz w:val="34"/>
          <w:szCs w:val="34"/>
        </w:rPr>
        <w:t xml:space="preserve">6. Aannames toetsen</w:t>
      </w:r>
    </w:p>
    <w:p>
      <w:pPr>
        <w:spacing w:after="140" w:line="288"/>
      </w:pPr>
      <w:r>
        <w:rPr>
          <w:rFonts w:ascii="Calibri" w:cs="Calibri" w:eastAsia="Calibri" w:hAnsi="Calibri"/>
          <w:color w:val="0E1A1C"/>
          <w:sz w:val="21"/>
          <w:szCs w:val="21"/>
        </w:rPr>
        <w:t xml:space="preserve">Je kunt de dragende aanname niet bewijzen. Je kunt hem wel onder druk zetten, en dat onderscheidt een verdedigbare analyse van een gok met formules.</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2200"/>
        <w:gridCol w:w="3600"/>
        <w:gridCol w:w="3220"/>
      </w:tblGrid>
      <w:tr>
        <w:trPr>
          <w:tblHeader/>
        </w:trPr>
        <w:tc>
          <w:tcPr>
            <w:tcW w:type="dxa" w:w="22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Toets</w:t>
            </w:r>
          </w:p>
        </w:tc>
        <w:tc>
          <w:tcPr>
            <w:tcW w:type="dxa" w:w="36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Wat je doet</w:t>
            </w:r>
          </w:p>
        </w:tc>
        <w:tc>
          <w:tcPr>
            <w:tcW w:type="dxa" w:w="32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Wat het aantoont</w:t>
            </w:r>
          </w:p>
        </w:tc>
      </w:tr>
      <w:tr>
        <w:tc>
          <w:tcPr>
            <w:tcW w:type="dxa" w:w="2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Parallelle voorgeschiedenis</w:t>
            </w:r>
          </w:p>
        </w:tc>
        <w:tc>
          <w:tcPr>
            <w:tcW w:type="dxa" w:w="3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Kijk of beide groepen vóór de interventie hetzelfde verliepen</w:t>
            </w:r>
          </w:p>
        </w:tc>
        <w:tc>
          <w:tcPr>
            <w:tcW w:type="dxa" w:w="32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Maakt de hoofdaanname aannemelijker; bewijst hem niet</w:t>
            </w:r>
          </w:p>
        </w:tc>
      </w:tr>
      <w:tr>
        <w:tc>
          <w:tcPr>
            <w:tcW w:type="dxa" w:w="2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Placebotoets</w:t>
            </w:r>
          </w:p>
        </w:tc>
        <w:tc>
          <w:tcPr>
            <w:tcW w:type="dxa" w:w="3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Doe dezelfde analyse op een periode waarin niets gebeurde</w:t>
            </w:r>
          </w:p>
        </w:tc>
        <w:tc>
          <w:tcPr>
            <w:tcW w:type="dxa" w:w="32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Vind je daar een effect, dan meet je iets anders</w:t>
            </w:r>
          </w:p>
        </w:tc>
      </w:tr>
      <w:tr>
        <w:tc>
          <w:tcPr>
            <w:tcW w:type="dxa" w:w="2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Uitkomst die niet mag reageren</w:t>
            </w:r>
          </w:p>
        </w:tc>
        <w:tc>
          <w:tcPr>
            <w:tcW w:type="dxa" w:w="3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Toets een uitkomst die de interventie niet kan beïnvloeden</w:t>
            </w:r>
          </w:p>
        </w:tc>
        <w:tc>
          <w:tcPr>
            <w:tcW w:type="dxa" w:w="32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Een effect daar duidt op een gemeenschappelijke oorzaak</w:t>
            </w:r>
          </w:p>
        </w:tc>
      </w:tr>
      <w:tr>
        <w:tc>
          <w:tcPr>
            <w:tcW w:type="dxa" w:w="2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Gevoeligheid</w:t>
            </w:r>
          </w:p>
        </w:tc>
        <w:tc>
          <w:tcPr>
            <w:tcW w:type="dxa" w:w="3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Hoe sterk zou een onwaarneembare factor moeten zijn om je resultaat weg te verklaren?</w:t>
            </w:r>
          </w:p>
        </w:tc>
        <w:tc>
          <w:tcPr>
            <w:tcW w:type="dxa" w:w="32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Maakt de kwetsbaarheid van je conclusie zichtbaar</w:t>
            </w:r>
          </w:p>
        </w:tc>
      </w:tr>
    </w:tbl>
    <w:p>
      <w:pPr>
        <w:spacing w:after="140"/>
      </w:pPr>
      <w:r>
        <w:t xml:space="preserve"/>
      </w:r>
    </w:p>
    <w:p>
      <w:pPr>
        <w:spacing w:after="140" w:line="288"/>
      </w:pPr>
      <w:r>
        <w:rPr>
          <w:rFonts w:ascii="Calibri" w:cs="Calibri" w:eastAsia="Calibri" w:hAnsi="Calibri"/>
          <w:color w:val="0E1A1C"/>
          <w:sz w:val="21"/>
          <w:szCs w:val="21"/>
        </w:rPr>
        <w:t xml:space="preserve">De vierde toets is op dit niveau de meest overtuigende en de minst gebruikte. Als je kunt laten zien dat een verborgen factor een onwaarschijnlijk sterke invloed zou moeten hebben om je effect te verklaren, is dat een aanzienlijk sterker argument dan een p-waarde.</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De rapportageregel</w:t>
            </w:r>
          </w:p>
          <w:p>
            <w:pPr>
              <w:spacing w:after="60" w:line="280"/>
            </w:pPr>
            <w:r>
              <w:rPr>
                <w:rFonts w:ascii="Calibri" w:cs="Calibri" w:eastAsia="Calibri" w:hAnsi="Calibri"/>
                <w:color w:val="0E1A1C"/>
                <w:sz w:val="20"/>
                <w:szCs w:val="20"/>
              </w:rPr>
              <w:t xml:space="preserve">Rapporteer de aanname, de toets, en het resultaat van de toets — in die volgorde, vóór het effect. Een lezer die eerst het effect ziet, beoordeelt de aanname daarna welwillender. Dat geldt ook voor jezelf.</w:t>
            </w:r>
          </w:p>
        </w:tc>
      </w:tr>
    </w:tbl>
    <w:p>
      <w:pPr>
        <w:pStyle w:val="Heading1"/>
        <w:spacing w:after="200" w:before="420"/>
      </w:pPr>
      <w:r>
        <w:rPr>
          <w:rFonts w:ascii="Cambria" w:cs="Cambria" w:eastAsia="Cambria" w:hAnsi="Cambria"/>
          <w:b/>
          <w:bCs/>
          <w:color w:val="1B4A48"/>
          <w:sz w:val="34"/>
          <w:szCs w:val="34"/>
        </w:rPr>
        <w:t xml:space="preserve">7. Causale diagrammen</w:t>
      </w:r>
    </w:p>
    <w:p>
      <w:pPr>
        <w:spacing w:after="140" w:line="288"/>
      </w:pPr>
      <w:r>
        <w:rPr>
          <w:rFonts w:ascii="Calibri" w:cs="Calibri" w:eastAsia="Calibri" w:hAnsi="Calibri"/>
          <w:color w:val="0E1A1C"/>
          <w:sz w:val="21"/>
          <w:szCs w:val="21"/>
        </w:rPr>
        <w:t xml:space="preserve">Een causaal diagram is een tekening van welke variabele welke beïnvloedt. Je hoeft er geen wiskunde mee te bedrijven; het is op dit niveau een denkinstrument dat één vraag beantwoordt: waarop moet ik corrigeren, en waarop juist niet?</w:t>
      </w:r>
    </w:p>
    <w:p>
      <w:pPr>
        <w:pStyle w:val="ListParagraph"/>
        <w:numPr>
          <w:ilvl w:val="0"/>
          <w:numId w:val="3"/>
        </w:numPr>
        <w:spacing w:after="70" w:line="280"/>
      </w:pPr>
      <w:r>
        <w:rPr>
          <w:rFonts w:ascii="Calibri" w:cs="Calibri" w:eastAsia="Calibri" w:hAnsi="Calibri"/>
          <w:color w:val="0E1A1C"/>
          <w:sz w:val="21"/>
          <w:szCs w:val="21"/>
        </w:rPr>
        <w:t xml:space="preserve">Corrigeer op een gemeenschappelijke oorzaak van behandeling en uitkomst. Dat is de confounder uit deel 5, en het is de reden dat je überhaupt corrigeert.</w:t>
      </w:r>
    </w:p>
    <w:p>
      <w:pPr>
        <w:pStyle w:val="ListParagraph"/>
        <w:numPr>
          <w:ilvl w:val="0"/>
          <w:numId w:val="3"/>
        </w:numPr>
        <w:spacing w:after="70" w:line="280"/>
      </w:pPr>
      <w:r>
        <w:rPr>
          <w:rFonts w:ascii="Calibri" w:cs="Calibri" w:eastAsia="Calibri" w:hAnsi="Calibri"/>
          <w:color w:val="0E1A1C"/>
          <w:sz w:val="21"/>
          <w:szCs w:val="21"/>
        </w:rPr>
        <w:t xml:space="preserve">Corrigeer níét op een variabele die tússen de behandeling en de uitkomst ligt. Die draagt een deel van het effect, en wegcorrigeren maakt het effect kleiner dan het is.</w:t>
      </w:r>
    </w:p>
    <w:p>
      <w:pPr>
        <w:pStyle w:val="ListParagraph"/>
        <w:numPr>
          <w:ilvl w:val="0"/>
          <w:numId w:val="3"/>
        </w:numPr>
        <w:spacing w:after="70" w:line="280"/>
      </w:pPr>
      <w:r>
        <w:rPr>
          <w:rFonts w:ascii="Calibri" w:cs="Calibri" w:eastAsia="Calibri" w:hAnsi="Calibri"/>
          <w:color w:val="0E1A1C"/>
          <w:sz w:val="21"/>
          <w:szCs w:val="21"/>
        </w:rPr>
        <w:t xml:space="preserve">Corrigeer níét op een variabele die door beide wordt beïnvloed. Dat creëert een verband dat er niet was — een van de weinige manieren waarop corrigeren de zaak actief verslechtert.</w:t>
      </w:r>
    </w:p>
    <w:p>
      <w:pPr>
        <w:spacing w:after="140" w:line="288"/>
      </w:pPr>
      <w:r>
        <w:rPr>
          <w:rFonts w:ascii="Calibri" w:cs="Calibri" w:eastAsia="Calibri" w:hAnsi="Calibri"/>
          <w:color w:val="0E1A1C"/>
          <w:sz w:val="21"/>
          <w:szCs w:val="21"/>
        </w:rPr>
        <w:t xml:space="preserve">Die derde regel is contra-intuïtief en wordt structureel geschonden, omdat corrigeren voor meer variabelen zorgvuldiger voelt. Bij de portaalvraag speelt hij concreet: corrigeren voor het aantal ontvangen brieven — dat zowel door portaalgebruik als door belgedrag wordt beïnvloed — introduceert een schijnverband.</w:t>
      </w:r>
    </w:p>
    <w:p>
      <w:r>
        <w:br w:type="page"/>
      </w:r>
    </w:p>
    <w:p>
      <w:pPr>
        <w:pStyle w:val="Heading1"/>
        <w:spacing w:after="200" w:before="420"/>
      </w:pPr>
      <w:r>
        <w:rPr>
          <w:rFonts w:ascii="Cambria" w:cs="Cambria" w:eastAsia="Cambria" w:hAnsi="Cambria"/>
          <w:b/>
          <w:bCs/>
          <w:color w:val="1B4A48"/>
          <w:sz w:val="34"/>
          <w:szCs w:val="34"/>
        </w:rPr>
        <w:t xml:space="preserve">8. Wanneer je geen causale uitspraak doet</w:t>
      </w:r>
    </w:p>
    <w:p>
      <w:pPr>
        <w:spacing w:after="140" w:line="288"/>
      </w:pPr>
      <w:r>
        <w:rPr>
          <w:rFonts w:ascii="Calibri" w:cs="Calibri" w:eastAsia="Calibri" w:hAnsi="Calibri"/>
          <w:color w:val="0E1A1C"/>
          <w:sz w:val="21"/>
          <w:szCs w:val="21"/>
        </w:rPr>
        <w:t xml:space="preserve">Dit is het onderdeel dat je op Master-niveau onderscheidt. Vier situaties waarin het juiste antwoord is dat het niet kan.</w:t>
      </w:r>
    </w:p>
    <w:p>
      <w:pPr>
        <w:pStyle w:val="ListParagraph"/>
        <w:numPr>
          <w:ilvl w:val="0"/>
          <w:numId w:val="4"/>
        </w:numPr>
        <w:spacing w:after="70" w:line="280"/>
      </w:pPr>
      <w:r>
        <w:rPr>
          <w:rFonts w:ascii="Calibri" w:cs="Calibri" w:eastAsia="Calibri" w:hAnsi="Calibri"/>
          <w:color w:val="0E1A1C"/>
          <w:sz w:val="21"/>
          <w:szCs w:val="21"/>
        </w:rPr>
        <w:t xml:space="preserve">Er is geen vergelijkbare onbehandelde groep en ook geen scherpe grens. Dan resteert matching, en die valt af zodra je een plausibele onwaarneembare factor kunt bedenken.</w:t>
      </w:r>
    </w:p>
    <w:p>
      <w:pPr>
        <w:pStyle w:val="ListParagraph"/>
        <w:numPr>
          <w:ilvl w:val="0"/>
          <w:numId w:val="4"/>
        </w:numPr>
        <w:spacing w:after="70" w:line="280"/>
      </w:pPr>
      <w:r>
        <w:rPr>
          <w:rFonts w:ascii="Calibri" w:cs="Calibri" w:eastAsia="Calibri" w:hAnsi="Calibri"/>
          <w:color w:val="0E1A1C"/>
          <w:sz w:val="21"/>
          <w:szCs w:val="21"/>
        </w:rPr>
        <w:t xml:space="preserve">De interventie viel samen met iets anders. Bij de fusie werd het portaal uitgerold in dezelfde maand als een nieuwe telefonische keuzemenu — die twee zijn niet te scheiden.</w:t>
      </w:r>
    </w:p>
    <w:p>
      <w:pPr>
        <w:pStyle w:val="ListParagraph"/>
        <w:numPr>
          <w:ilvl w:val="0"/>
          <w:numId w:val="4"/>
        </w:numPr>
        <w:spacing w:after="70" w:line="280"/>
      </w:pPr>
      <w:r>
        <w:rPr>
          <w:rFonts w:ascii="Calibri" w:cs="Calibri" w:eastAsia="Calibri" w:hAnsi="Calibri"/>
          <w:color w:val="0E1A1C"/>
          <w:sz w:val="21"/>
          <w:szCs w:val="21"/>
        </w:rPr>
        <w:t xml:space="preserve">De uitkomst is zelf beïnvloed door de meting. Als het portaal deelnemers aanmoedigt hun vraag digitaal te stellen, meet je verplaatsing en geen vermindering.</w:t>
      </w:r>
    </w:p>
    <w:p>
      <w:pPr>
        <w:pStyle w:val="ListParagraph"/>
        <w:numPr>
          <w:ilvl w:val="0"/>
          <w:numId w:val="4"/>
        </w:numPr>
        <w:spacing w:after="70" w:line="280"/>
      </w:pPr>
      <w:r>
        <w:rPr>
          <w:rFonts w:ascii="Calibri" w:cs="Calibri" w:eastAsia="Calibri" w:hAnsi="Calibri"/>
          <w:color w:val="0E1A1C"/>
          <w:sz w:val="21"/>
          <w:szCs w:val="21"/>
        </w:rPr>
        <w:t xml:space="preserve">De aanname is niet te toetsen, ook niet indirect. Dan heb je een schatting met formules eromheen.</w:t>
      </w:r>
    </w:p>
    <w:p>
      <w:pPr>
        <w:spacing w:after="140" w:line="288"/>
      </w:pPr>
      <w:r>
        <w:rPr>
          <w:rFonts w:ascii="Calibri" w:cs="Calibri" w:eastAsia="Calibri" w:hAnsi="Calibri"/>
          <w:color w:val="0E1A1C"/>
          <w:sz w:val="21"/>
          <w:szCs w:val="21"/>
        </w:rPr>
        <w:t xml:space="preserve">In alle vier de gevallen is het juiste antwoord aan de opdrachtgever: dit verband is er, deze verklaringen kan ik niet uitsluiten, en een oorzakelijke uitspraak is niet verdedigbaar. Dat voelt als falen en het is het tegendeel — het is precies het oordeel waarvoor iemand op dit niveau wordt ingehuurd.</w:t>
      </w:r>
    </w:p>
    <w:p>
      <w:pPr>
        <w:pStyle w:val="Heading1"/>
        <w:spacing w:after="200" w:before="420"/>
      </w:pPr>
      <w:r>
        <w:rPr>
          <w:rFonts w:ascii="Cambria" w:cs="Cambria" w:eastAsia="Cambria" w:hAnsi="Cambria"/>
          <w:b/>
          <w:bCs/>
          <w:color w:val="1B4A48"/>
          <w:sz w:val="34"/>
          <w:szCs w:val="34"/>
        </w:rPr>
        <w:t xml:space="preserve">9. Planning</w:t>
      </w:r>
    </w:p>
    <w:p>
      <w:pPr>
        <w:spacing w:after="140" w:line="288"/>
      </w:pPr>
      <w:r>
        <w:rPr>
          <w:rFonts w:ascii="Calibri" w:cs="Calibri" w:eastAsia="Calibri" w:hAnsi="Calibri"/>
          <w:color w:val="0E1A1C"/>
          <w:sz w:val="21"/>
          <w:szCs w:val="21"/>
        </w:rPr>
        <w:t xml:space="preserve">Master vraagt drie examens op de bovenste band plus de ervaringsbeoordeling. De optionele AIGP staat daar los van en heeft een eigen ritme.</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500"/>
        <w:gridCol w:w="4400"/>
        <w:gridCol w:w="3120"/>
      </w:tblGrid>
      <w:tr>
        <w:trPr>
          <w:tblHeader/>
        </w:trPr>
        <w:tc>
          <w:tcPr>
            <w:tcW w:type="dxa" w:w="15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Weken</w:t>
            </w:r>
          </w:p>
        </w:tc>
        <w:tc>
          <w:tcPr>
            <w:tcW w:type="dxa" w:w="44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Focus</w:t>
            </w:r>
          </w:p>
        </w:tc>
        <w:tc>
          <w:tcPr>
            <w:tcW w:type="dxa" w:w="31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Toets</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1 tot 5</w:t>
            </w:r>
          </w:p>
        </w:tc>
        <w:tc>
          <w:tcPr>
            <w:tcW w:type="dxa" w:w="4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randgebieden: de kennisgebieden die je bij Practitioner liet liggen</w:t>
            </w:r>
          </w:p>
        </w:tc>
        <w:tc>
          <w:tcPr>
            <w:tcW w:type="dxa" w:w="31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Proefvragen per gebied, op 80%-niveau</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6 tot 8</w:t>
            </w:r>
          </w:p>
        </w:tc>
        <w:tc>
          <w:tcPr>
            <w:tcW w:type="dxa" w:w="4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Diepte: onderscheidingen, volgordes en uitzonderingen op vuistregels</w:t>
            </w:r>
          </w:p>
        </w:tc>
        <w:tc>
          <w:tcPr>
            <w:tcW w:type="dxa" w:w="31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Gecombineerde vragen over twee gebieden</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9</w:t>
            </w:r>
          </w:p>
        </w:tc>
        <w:tc>
          <w:tcPr>
            <w:tcW w:type="dxa" w:w="4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Volledig proefexamen op 80%-band</w:t>
            </w:r>
          </w:p>
        </w:tc>
        <w:tc>
          <w:tcPr>
            <w:tcW w:type="dxa" w:w="31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Consistentie over twee proefexamens</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10 tot 12</w:t>
            </w:r>
          </w:p>
        </w:tc>
        <w:tc>
          <w:tcPr>
            <w:tcW w:type="dxa" w:w="4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drie examens, verspreid</w:t>
            </w:r>
          </w:p>
        </w:tc>
        <w:tc>
          <w:tcPr>
            <w:tcW w:type="dxa" w:w="31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Parallel</w:t>
            </w:r>
          </w:p>
        </w:tc>
        <w:tc>
          <w:tcPr>
            <w:tcW w:type="dxa" w:w="4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Ervaringsdossier samenstellen en laten tegenlezen</w:t>
            </w:r>
          </w:p>
        </w:tc>
        <w:tc>
          <w:tcPr>
            <w:tcW w:type="dxa" w:w="31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Beoordeling door een vakgenoot</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Later</w:t>
            </w:r>
          </w:p>
        </w:tc>
        <w:tc>
          <w:tcPr>
            <w:tcW w:type="dxa" w:w="4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AIGP, met een eigen voorbereiding van zes tot acht weken</w:t>
            </w:r>
          </w:p>
        </w:tc>
        <w:tc>
          <w:tcPr>
            <w:tcW w:type="dxa" w:w="31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Scenariovragen, gesloten boek</w:t>
            </w:r>
          </w:p>
        </w:tc>
      </w:tr>
    </w:tbl>
    <w:p>
      <w:pPr>
        <w:spacing w:after="140"/>
      </w:pPr>
      <w:r>
        <w:t xml:space="preserve"/>
      </w:r>
    </w:p>
    <w:p>
      <w:pPr>
        <w:spacing w:after="140" w:line="288"/>
      </w:pPr>
      <w:r>
        <w:rPr>
          <w:rFonts w:ascii="Calibri" w:cs="Calibri" w:eastAsia="Calibri" w:hAnsi="Calibri"/>
          <w:color w:val="0E1A1C"/>
          <w:sz w:val="21"/>
          <w:szCs w:val="21"/>
        </w:rPr>
        <w:t xml:space="preserve">Het dossier loopt parallel omdat het ander werk is: verzamelen en schrijven in plaats van studeren. Wie het na de examens plant, stelt het uit — en dat is de meest voorkomende reden dat mensen op Practitioner blijven staan terwijl ze de examens allang hebben.</w:t>
      </w:r>
    </w:p>
    <w:p>
      <w:pPr>
        <w:pStyle w:val="Heading1"/>
        <w:spacing w:after="200" w:before="420"/>
      </w:pPr>
      <w:r>
        <w:rPr>
          <w:rFonts w:ascii="Cambria" w:cs="Cambria" w:eastAsia="Cambria" w:hAnsi="Cambria"/>
          <w:b/>
          <w:bCs/>
          <w:color w:val="1B4A48"/>
          <w:sz w:val="34"/>
          <w:szCs w:val="34"/>
        </w:rPr>
        <w:t xml:space="preserve">10. Vijf fouten</w:t>
      </w:r>
    </w:p>
    <w:p>
      <w:pPr>
        <w:pStyle w:val="ListParagraph"/>
        <w:numPr>
          <w:ilvl w:val="0"/>
          <w:numId w:val="5"/>
        </w:numPr>
        <w:spacing w:after="70" w:line="280"/>
      </w:pPr>
      <w:r>
        <w:rPr>
          <w:rFonts w:ascii="Calibri" w:cs="Calibri" w:eastAsia="Calibri" w:hAnsi="Calibri"/>
          <w:color w:val="0E1A1C"/>
          <w:sz w:val="21"/>
          <w:szCs w:val="21"/>
        </w:rPr>
        <w:t xml:space="preserve">De tien procentpunt zoeken in tempo en lezen, terwijl die bij Practitioner al zijn opgehaald.</w:t>
      </w:r>
    </w:p>
    <w:p>
      <w:pPr>
        <w:pStyle w:val="ListParagraph"/>
        <w:numPr>
          <w:ilvl w:val="0"/>
          <w:numId w:val="5"/>
        </w:numPr>
        <w:spacing w:after="70" w:line="280"/>
      </w:pPr>
      <w:r>
        <w:rPr>
          <w:rFonts w:ascii="Calibri" w:cs="Calibri" w:eastAsia="Calibri" w:hAnsi="Calibri"/>
          <w:color w:val="0E1A1C"/>
          <w:sz w:val="21"/>
          <w:szCs w:val="21"/>
        </w:rPr>
        <w:t xml:space="preserve">Verdiepen in je specialismen in plaats van de randgebieden ophalen.</w:t>
      </w:r>
    </w:p>
    <w:p>
      <w:pPr>
        <w:pStyle w:val="ListParagraph"/>
        <w:numPr>
          <w:ilvl w:val="0"/>
          <w:numId w:val="5"/>
        </w:numPr>
        <w:spacing w:after="70" w:line="280"/>
      </w:pPr>
      <w:r>
        <w:rPr>
          <w:rFonts w:ascii="Calibri" w:cs="Calibri" w:eastAsia="Calibri" w:hAnsi="Calibri"/>
          <w:color w:val="0E1A1C"/>
          <w:sz w:val="21"/>
          <w:szCs w:val="21"/>
        </w:rPr>
        <w:t xml:space="preserve">Een ervaringsdossier met uitsluitend geslaagde opdrachten.</w:t>
      </w:r>
    </w:p>
    <w:p>
      <w:pPr>
        <w:pStyle w:val="ListParagraph"/>
        <w:numPr>
          <w:ilvl w:val="0"/>
          <w:numId w:val="5"/>
        </w:numPr>
        <w:spacing w:after="70" w:line="280"/>
      </w:pPr>
      <w:r>
        <w:rPr>
          <w:rFonts w:ascii="Calibri" w:cs="Calibri" w:eastAsia="Calibri" w:hAnsi="Calibri"/>
          <w:color w:val="0E1A1C"/>
          <w:sz w:val="21"/>
          <w:szCs w:val="21"/>
        </w:rPr>
        <w:t xml:space="preserve">Een causale methode toepassen zonder de dragende aanname te toetsen.</w:t>
      </w:r>
    </w:p>
    <w:p>
      <w:pPr>
        <w:pStyle w:val="ListParagraph"/>
        <w:numPr>
          <w:ilvl w:val="0"/>
          <w:numId w:val="5"/>
        </w:numPr>
        <w:spacing w:after="70" w:line="280"/>
      </w:pPr>
      <w:r>
        <w:rPr>
          <w:rFonts w:ascii="Calibri" w:cs="Calibri" w:eastAsia="Calibri" w:hAnsi="Calibri"/>
          <w:color w:val="0E1A1C"/>
          <w:sz w:val="21"/>
          <w:szCs w:val="21"/>
        </w:rPr>
        <w:t xml:space="preserve">Een causale uitspraak doen omdat de opdrachtgever erom vroeg, terwijl geen enkele methode hem draagt.</w:t>
      </w:r>
    </w:p>
    <w:p>
      <w:pPr>
        <w:pStyle w:val="Heading1"/>
        <w:spacing w:after="200" w:before="420"/>
      </w:pPr>
      <w:r>
        <w:rPr>
          <w:rFonts w:ascii="Cambria" w:cs="Cambria" w:eastAsia="Cambria" w:hAnsi="Cambria"/>
          <w:b/>
          <w:bCs/>
          <w:color w:val="1B4A48"/>
          <w:sz w:val="34"/>
          <w:szCs w:val="34"/>
        </w:rPr>
        <w:t xml:space="preserve">11. Examenrelevantie</w:t>
      </w:r>
    </w:p>
    <w:p>
      <w:pPr>
        <w:spacing w:after="140" w:line="288"/>
      </w:pPr>
      <w:r>
        <w:rPr>
          <w:rFonts w:ascii="Calibri" w:cs="Calibri" w:eastAsia="Calibri" w:hAnsi="Calibri"/>
          <w:color w:val="0E1A1C"/>
          <w:sz w:val="21"/>
          <w:szCs w:val="21"/>
        </w:rPr>
        <w:t xml:space="preserve">Dit deel bereidt voor op CDMP Master en op het analytische deel van de AIGP. Voor het CDMP is de DMBOK-terminologie leidend; de causale methoden zijn praktijkkennis die het DMBOK op hoofdlijnen behandelt.</w:t>
      </w:r>
    </w:p>
    <w:p>
      <w:pPr>
        <w:pStyle w:val="Heading3"/>
        <w:spacing w:after="100" w:before="240"/>
      </w:pPr>
      <w:r>
        <w:rPr>
          <w:rFonts w:ascii="Calibri" w:cs="Calibri" w:eastAsia="Calibri" w:hAnsi="Calibri"/>
          <w:b/>
          <w:bCs/>
          <w:color w:val="3F7D74"/>
          <w:sz w:val="22"/>
          <w:szCs w:val="22"/>
        </w:rPr>
        <w:t xml:space="preserve">Aandachtspunten</w:t>
      </w:r>
    </w:p>
    <w:p>
      <w:pPr>
        <w:pStyle w:val="ListParagraph"/>
        <w:numPr>
          <w:ilvl w:val="0"/>
          <w:numId w:val="3"/>
        </w:numPr>
        <w:spacing w:after="70" w:line="280"/>
      </w:pPr>
      <w:r>
        <w:rPr>
          <w:rFonts w:ascii="Calibri" w:cs="Calibri" w:eastAsia="Calibri" w:hAnsi="Calibri"/>
          <w:color w:val="0E1A1C"/>
          <w:sz w:val="21"/>
          <w:szCs w:val="21"/>
        </w:rPr>
        <w:t xml:space="preserve">De onderscheidingen die op Associate-niveau als synoniem konden gelden.</w:t>
      </w:r>
    </w:p>
    <w:p>
      <w:pPr>
        <w:pStyle w:val="ListParagraph"/>
        <w:numPr>
          <w:ilvl w:val="0"/>
          <w:numId w:val="3"/>
        </w:numPr>
        <w:spacing w:after="70" w:line="280"/>
      </w:pPr>
      <w:r>
        <w:rPr>
          <w:rFonts w:ascii="Calibri" w:cs="Calibri" w:eastAsia="Calibri" w:hAnsi="Calibri"/>
          <w:color w:val="0E1A1C"/>
          <w:sz w:val="21"/>
          <w:szCs w:val="21"/>
        </w:rPr>
        <w:t xml:space="preserve">Volgorde en afhankelijkheid tussen stappen, en de gevolgen van omdraaien.</w:t>
      </w:r>
    </w:p>
    <w:p>
      <w:pPr>
        <w:pStyle w:val="ListParagraph"/>
        <w:numPr>
          <w:ilvl w:val="0"/>
          <w:numId w:val="3"/>
        </w:numPr>
        <w:spacing w:after="70" w:line="280"/>
      </w:pPr>
      <w:r>
        <w:rPr>
          <w:rFonts w:ascii="Calibri" w:cs="Calibri" w:eastAsia="Calibri" w:hAnsi="Calibri"/>
          <w:color w:val="0E1A1C"/>
          <w:sz w:val="21"/>
          <w:szCs w:val="21"/>
        </w:rPr>
        <w:t xml:space="preserve">Uitzonderingen op vuistregels — dat is waar de bovenste band op toetst.</w:t>
      </w:r>
    </w:p>
    <w:p>
      <w:pPr>
        <w:pStyle w:val="ListParagraph"/>
        <w:numPr>
          <w:ilvl w:val="0"/>
          <w:numId w:val="3"/>
        </w:numPr>
        <w:spacing w:after="70" w:line="280"/>
      </w:pPr>
      <w:r>
        <w:rPr>
          <w:rFonts w:ascii="Calibri" w:cs="Calibri" w:eastAsia="Calibri" w:hAnsi="Calibri"/>
          <w:color w:val="0E1A1C"/>
          <w:sz w:val="21"/>
          <w:szCs w:val="21"/>
        </w:rPr>
        <w:t xml:space="preserve">Vragen die twee kennisgebieden combineren.</w:t>
      </w:r>
    </w:p>
    <w:p>
      <w:pPr>
        <w:pStyle w:val="ListParagraph"/>
        <w:numPr>
          <w:ilvl w:val="0"/>
          <w:numId w:val="3"/>
        </w:numPr>
        <w:spacing w:after="70" w:line="280"/>
      </w:pPr>
      <w:r>
        <w:rPr>
          <w:rFonts w:ascii="Calibri" w:cs="Calibri" w:eastAsia="Calibri" w:hAnsi="Calibri"/>
          <w:color w:val="0E1A1C"/>
          <w:sz w:val="21"/>
          <w:szCs w:val="21"/>
        </w:rPr>
        <w:t xml:space="preserve">Engels: causal inference, difference-in-differences, regression discontinuity, instrumental variable, confounder, collider, sensitivity analysis.</w:t>
      </w:r>
    </w:p>
    <w:p>
      <w:pPr>
        <w:spacing w:after="14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Studiemateriaal bij dit deel</w:t>
            </w:r>
          </w:p>
          <w:p>
            <w:pPr>
              <w:spacing w:after="60" w:line="280"/>
            </w:pPr>
            <w:r>
              <w:rPr>
                <w:rFonts w:ascii="Calibri" w:cs="Calibri" w:eastAsia="Calibri" w:hAnsi="Calibri"/>
                <w:color w:val="0E1A1C"/>
                <w:sz w:val="20"/>
                <w:szCs w:val="20"/>
              </w:rPr>
              <w:t xml:space="preserve">Kernbron: de DAMA-DMBOK2 Revised Edition, het enige toegestane hulpmiddel bij het examen. Examenopzet, de eisen voor Master en de procedure voor de ervaringsbeoordeling: cdmp.info/exams en dama.org/certification.</w:t>
            </w:r>
          </w:p>
          <w:p>
            <w:pPr>
              <w:spacing w:after="60" w:line="280"/>
            </w:pPr>
            <w:r>
              <w:rPr>
                <w:rFonts w:ascii="Calibri" w:cs="Calibri" w:eastAsia="Calibri" w:hAnsi="Calibri"/>
                <w:color w:val="0E1A1C"/>
                <w:sz w:val="20"/>
                <w:szCs w:val="20"/>
              </w:rPr>
              <w:t xml:space="preserve">Voor causale inferentie: het werk van Judea Pearl over causale diagrammen, en de toegankelijke handboeken over quasi-experimentele methoden uit de econometrie.</w:t>
            </w:r>
          </w:p>
          <w:p>
            <w:pPr>
              <w:spacing w:after="60" w:line="280"/>
            </w:pPr>
            <w:r>
              <w:rPr>
                <w:rFonts w:ascii="Calibri" w:cs="Calibri" w:eastAsia="Calibri" w:hAnsi="Calibri"/>
                <w:color w:val="0E1A1C"/>
                <w:sz w:val="20"/>
                <w:szCs w:val="20"/>
              </w:rPr>
              <w:t xml:space="preserve">Voor de AIGP: de body of knowledge en het exam blueprint op iapp.org.</w:t>
            </w:r>
          </w:p>
          <w:p>
            <w:pPr>
              <w:spacing w:after="60" w:line="280"/>
            </w:pPr>
            <w:r>
              <w:rPr>
                <w:rFonts w:ascii="Calibri" w:cs="Calibri" w:eastAsia="Calibri" w:hAnsi="Calibri"/>
                <w:color w:val="0E1A1C"/>
                <w:sz w:val="20"/>
                <w:szCs w:val="20"/>
              </w:rPr>
              <w:t xml:space="preserve">De proefvragen in dit deel zijn door Ductus opgesteld en zijn geen examenvragen.</w:t>
            </w:r>
          </w:p>
          <w:p>
            <w:pPr>
              <w:spacing w:after="60" w:line="280"/>
            </w:pPr>
            <w:r>
              <w:rPr>
                <w:rFonts w:ascii="Calibri" w:cs="Calibri" w:eastAsia="Calibri" w:hAnsi="Calibri"/>
                <w:color w:val="0E1A1C"/>
                <w:sz w:val="20"/>
                <w:szCs w:val="20"/>
              </w:rPr>
              <w:t xml:space="preserve">Dit materiaal reproduceert geen van deze bronnen en vervangt ze niet.</w:t>
            </w: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CE" w:sz="4"/>
      </w:pBdr>
      <w:spacing w:before="120"/>
      <w:jc w:val="right"/>
    </w:pPr>
    <w:r>
      <w:rPr>
        <w:rFonts w:ascii="Calibri" w:cs="Calibri" w:eastAsia="Calibri" w:hAnsi="Calibri"/>
        <w:color w:val="5F7375"/>
        <w:sz w:val="15"/>
        <w:szCs w:val="15"/>
      </w:rPr>
      <w:t xml:space="preserve">Ductus B.V.  ·  Deel 28 — Examentraining Master en causale analyse  ·  </w:t>
    </w:r>
    <w:r>
      <w:rPr>
        <w:rFonts w:ascii="Calibri" w:cs="Calibri" w:eastAsia="Calibri" w:hAnsi="Calibri"/>
        <w:color w:val="5F737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3F7D74"/>
      </w:rPr>
    </w:lvl>
  </w:abstractNum>
  <w:abstractNum w:abstractNumId="3" w15:restartNumberingAfterBreak="0">
    <w:multiLevelType w:val="hybridMultilevel"/>
    <w:lvl w:ilvl="0" w15:tentative="1">
      <w:start w:val="1"/>
      <w:numFmt w:val="decimal"/>
      <w:lvlText w:val="%1."/>
      <w:lvlJc w:val="left"/>
      <w:pPr>
        <w:ind w:left="400" w:hanging="220"/>
      </w:pPr>
      <w:rPr>
        <w:b/>
        <w:bCs/>
        <w:color w:val="3F7D74"/>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Examentraining Master en causale analyse — Deelnemersreader</dc:title>
  <dc:creator>Ductus B.V.</dc:creator>
  <dc:description>Cursusmateriaal datamanagement, data-analyse en data governance</dc:description>
  <cp:lastModifiedBy>Un-named</cp:lastModifiedBy>
  <cp:revision>1</cp:revision>
  <dcterms:created xsi:type="dcterms:W3CDTF">2026-08-05T14:04:35.204Z</dcterms:created>
  <dcterms:modified xsi:type="dcterms:W3CDTF">2026-08-05T14:04:35.204Z</dcterms:modified>
</cp:coreProperties>
</file>

<file path=docProps/custom.xml><?xml version="1.0" encoding="utf-8"?>
<Properties xmlns="http://schemas.openxmlformats.org/officeDocument/2006/custom-properties" xmlns:vt="http://schemas.openxmlformats.org/officeDocument/2006/docPropsVTypes"/>
</file>