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rFonts w:ascii="Consolas" w:cs="Consolas" w:eastAsia="Consolas" w:hAnsi="Consolas"/>
          <w:color w:val="3F7D74"/>
          <w:spacing w:val="60"/>
          <w:sz w:val="18"/>
          <w:szCs w:val="18"/>
        </w:rPr>
        <w:t xml:space="preserve">NIVEAU 3 · MEESTERSCHAP · DEEL 28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0E1A1C"/>
          <w:sz w:val="56"/>
          <w:szCs w:val="56"/>
        </w:rPr>
        <w:t xml:space="preserve">Examentraining Master en causale analyse</w:t>
      </w:r>
    </w:p>
    <w:p>
      <w:pPr>
        <w:spacing w:after="300"/>
      </w:pPr>
      <w:r>
        <w:rPr>
          <w:rFonts w:ascii="Calibri" w:cs="Calibri" w:eastAsia="Calibri" w:hAnsi="Calibri"/>
          <w:color w:val="5F7375"/>
          <w:sz w:val="26"/>
          <w:szCs w:val="26"/>
        </w:rPr>
        <w:t xml:space="preserve">Werkboek met opdrachten</w:t>
      </w:r>
    </w:p>
    <w:p>
      <w:pPr>
        <w:spacing w:after="4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OPDRACHTEN  </w:t>
      </w:r>
      <w:r>
        <w:rPr>
          <w:rFonts w:ascii="Calibri" w:cs="Calibri" w:eastAsia="Calibri" w:hAnsi="Calibri"/>
          <w:b/>
          <w:bCs/>
          <w:color w:val="0E1A1C"/>
          <w:sz w:val="20"/>
          <w:szCs w:val="20"/>
        </w:rPr>
        <w:t xml:space="preserve">7, plus zelftoets van 12 vragen</w:t>
      </w:r>
    </w:p>
    <w:p>
      <w:pPr>
        <w:spacing w:after="4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TIJD  </w:t>
      </w:r>
      <w:r>
        <w:rPr>
          <w:rFonts w:ascii="Calibri" w:cs="Calibri" w:eastAsia="Calibri" w:hAnsi="Calibri"/>
          <w:b/>
          <w:bCs/>
          <w:color w:val="0E1A1C"/>
          <w:sz w:val="20"/>
          <w:szCs w:val="20"/>
        </w:rPr>
        <w:t xml:space="preserve">± 9 uur (5 uur klassikaal, 4 uur zelfstandig)</w:t>
      </w:r>
    </w:p>
    <w:p>
      <w:pPr>
        <w:spacing w:after="4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CASUS  </w:t>
      </w:r>
      <w:r>
        <w:rPr>
          <w:rFonts w:ascii="Calibri" w:cs="Calibri" w:eastAsia="Calibri" w:hAnsi="Calibri"/>
          <w:b/>
          <w:bCs/>
          <w:color w:val="0E1A1C"/>
          <w:sz w:val="20"/>
          <w:szCs w:val="20"/>
        </w:rPr>
        <w:t xml:space="preserve">Meridiaan Pensioen N.V.</w:t>
      </w:r>
    </w:p>
    <w:p>
      <w:pPr>
        <w:spacing w:after="4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MEENEMEN  </w:t>
      </w:r>
      <w:r>
        <w:rPr>
          <w:rFonts w:ascii="Calibri" w:cs="Calibri" w:eastAsia="Calibri" w:hAnsi="Calibri"/>
          <w:b/>
          <w:bCs/>
          <w:color w:val="0E1A1C"/>
          <w:sz w:val="20"/>
          <w:szCs w:val="20"/>
        </w:rPr>
        <w:t xml:space="preserve">Je scorerapporten, je ervaringsdossier uit deel 20, en een causale uitspraak die je ooit deed</w:t>
      </w:r>
    </w:p>
    <w:p>
      <w:pPr>
        <w:spacing w:after="340"/>
      </w:pPr>
      <w:r>
        <w:t xml:space="preserve"/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Voorbereiding, geen vervanging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Deze cursusmap is onafhankelijk ontwikkeld door Ductus B.V. Ductus is niet gelieerd aan, geaccrediteerd door of goedgekeurd door DAMA International, IIBA, IAPP, de EDM Association of Microsoft.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Dit materiaal bereidt voor op de genoemde examens en vervangt het officiële examenmateriaal niet. Bodies of knowledge, handboeken en examenblueprints worden hier niet gereproduceerd; deelnemers schaffen die bronnen zelf aan.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Alle genoemde merken zijn eigendom van hun respectieve houders. Examengegevens gecontroleerd in augustus 2026 — verifieer vóór inschrijving bij de bron.</w:t>
            </w:r>
          </w:p>
        </w:tc>
      </w:tr>
    </w:tbl>
    <w:p>
      <w:r>
        <w:br w:type="page"/>
      </w:r>
    </w:p>
    <w:p>
      <w:pPr>
        <w:pStyle w:val="Heading1"/>
        <w:spacing w:after="200" w:before="420"/>
      </w:pPr>
      <w:r>
        <w:rPr>
          <w:rFonts w:ascii="Cambria" w:cs="Cambria" w:eastAsia="Cambria" w:hAnsi="Cambria"/>
          <w:b/>
          <w:bCs/>
          <w:color w:val="1B4A48"/>
          <w:sz w:val="34"/>
          <w:szCs w:val="34"/>
        </w:rPr>
        <w:t xml:space="preserve">Hoe je dit werkboek gebruikt</w:t>
      </w:r>
    </w:p>
    <w:p>
      <w:pPr>
        <w:spacing w:after="140" w:line="288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Dit deel combineert twee onderwerpen die weinig met elkaar te maken hebben. Opdracht 1 en 2 gaan over de examenroute, opdracht 4 tot en met 6 over causale analyse, en opdracht 3 en 7 verbinden ze.</w:t>
      </w:r>
    </w:p>
    <w:p>
      <w:pPr>
        <w:spacing w:after="140" w:line="288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Neem je scorerapporten mee, je ervaringsdossier uit deel 20, en een causale uitspraak die je ooit hebt gedaan — bij opdracht 6 kijk je daar opnieuw naar.</w:t>
      </w:r>
    </w:p>
    <w:p>
      <w:pPr>
        <w:spacing w:after="140" w:line="288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Opdracht 3 is een proefexamen op de bovenste band. Reken erop dat het tegenvalt; dat is de bedoeling en het is informatief.</w:t>
      </w:r>
    </w:p>
    <w:p>
      <w:pPr>
        <w:spacing w:after="120"/>
      </w:pPr>
      <w:r>
        <w:t xml:space="preserve"/>
      </w:r>
    </w:p>
    <w:tbl>
      <w:tblPr>
        <w:tblW w:type="dxa" w:w="9020"/>
        <w:tblBorders>
          <w:top w:val="single" w:color="C9D3CE" w:sz="2"/>
          <w:left w:val="single" w:color="C9D3CE" w:sz="2"/>
          <w:bottom w:val="single" w:color="C9D3CE" w:sz="2"/>
          <w:right w:val="single" w:color="C9D3CE" w:sz="2"/>
          <w:insideH w:val="single" w:color="C9D3CE" w:sz="2"/>
          <w:insideV w:val="single" w:color="C9D3CE" w:sz="2"/>
        </w:tblBorders>
      </w:tblPr>
      <w:tblGrid>
        <w:gridCol w:w="2900"/>
        <w:gridCol w:w="1700"/>
        <w:gridCol w:w="1900"/>
        <w:gridCol w:w="2520"/>
      </w:tblGrid>
      <w:tr>
        <w:trPr>
          <w:tblHeader/>
        </w:trPr>
        <w:tc>
          <w:tcPr>
            <w:tcW w:type="dxa" w:w="2900"/>
            <w:shd w:fill="1B4A4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Opdracht</w:t>
            </w:r>
          </w:p>
        </w:tc>
        <w:tc>
          <w:tcPr>
            <w:tcW w:type="dxa" w:w="1700"/>
            <w:shd w:fill="1B4A4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Wanneer</w:t>
            </w:r>
          </w:p>
        </w:tc>
        <w:tc>
          <w:tcPr>
            <w:tcW w:type="dxa" w:w="1900"/>
            <w:shd w:fill="1B4A4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Werkvorm</w:t>
            </w:r>
          </w:p>
        </w:tc>
        <w:tc>
          <w:tcPr>
            <w:tcW w:type="dxa" w:w="2520"/>
            <w:shd w:fill="1B4A4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Tijd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1. Waar liggen de tien punten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Vooraf</w:t>
            </w:r>
          </w:p>
        </w:tc>
        <w:tc>
          <w:tcPr>
            <w:tcW w:type="dxa" w:w="1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Individueel</w:t>
            </w:r>
          </w:p>
        </w:tc>
        <w:tc>
          <w:tcPr>
            <w:tcW w:type="dxa" w:w="252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45 min</w:t>
            </w:r>
          </w:p>
        </w:tc>
      </w:tr>
      <w:tr>
        <w:tc>
          <w:tcPr>
            <w:tcW w:type="dxa" w:w="2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2. Dossier tegen de criteria</w:t>
            </w:r>
          </w:p>
        </w:tc>
        <w:tc>
          <w:tcPr>
            <w:tcW w:type="dxa" w:w="17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Vooraf</w:t>
            </w:r>
          </w:p>
        </w:tc>
        <w:tc>
          <w:tcPr>
            <w:tcW w:type="dxa" w:w="1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Individueel</w:t>
            </w:r>
          </w:p>
        </w:tc>
        <w:tc>
          <w:tcPr>
            <w:tcW w:type="dxa" w:w="252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50 min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3. Proefexamen 80%-band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Klassikaal</w:t>
            </w:r>
          </w:p>
        </w:tc>
        <w:tc>
          <w:tcPr>
            <w:tcW w:type="dxa" w:w="1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Individueel</w:t>
            </w:r>
          </w:p>
        </w:tc>
        <w:tc>
          <w:tcPr>
            <w:tcW w:type="dxa" w:w="252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90 min</w:t>
            </w:r>
          </w:p>
        </w:tc>
      </w:tr>
      <w:tr>
        <w:tc>
          <w:tcPr>
            <w:tcW w:type="dxa" w:w="2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4. Methode kiezen</w:t>
            </w:r>
          </w:p>
        </w:tc>
        <w:tc>
          <w:tcPr>
            <w:tcW w:type="dxa" w:w="17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Klassikaal</w:t>
            </w:r>
          </w:p>
        </w:tc>
        <w:tc>
          <w:tcPr>
            <w:tcW w:type="dxa" w:w="1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Tweetal</w:t>
            </w:r>
          </w:p>
        </w:tc>
        <w:tc>
          <w:tcPr>
            <w:tcW w:type="dxa" w:w="252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60 min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5. Aannames falsificeren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Klassikaal</w:t>
            </w:r>
          </w:p>
        </w:tc>
        <w:tc>
          <w:tcPr>
            <w:tcW w:type="dxa" w:w="1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Tweetal</w:t>
            </w:r>
          </w:p>
        </w:tc>
        <w:tc>
          <w:tcPr>
            <w:tcW w:type="dxa" w:w="252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65 min</w:t>
            </w:r>
          </w:p>
        </w:tc>
      </w:tr>
      <w:tr>
        <w:tc>
          <w:tcPr>
            <w:tcW w:type="dxa" w:w="2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6. Je eigen causale uitspraak</w:t>
            </w:r>
          </w:p>
        </w:tc>
        <w:tc>
          <w:tcPr>
            <w:tcW w:type="dxa" w:w="17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Klassikaal</w:t>
            </w:r>
          </w:p>
        </w:tc>
        <w:tc>
          <w:tcPr>
            <w:tcW w:type="dxa" w:w="1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Tweetal</w:t>
            </w:r>
          </w:p>
        </w:tc>
        <w:tc>
          <w:tcPr>
            <w:tcW w:type="dxa" w:w="252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40 min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7. Planning en go/no-go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Achteraf</w:t>
            </w:r>
          </w:p>
        </w:tc>
        <w:tc>
          <w:tcPr>
            <w:tcW w:type="dxa" w:w="1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Individueel</w:t>
            </w:r>
          </w:p>
        </w:tc>
        <w:tc>
          <w:tcPr>
            <w:tcW w:type="dxa" w:w="252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45 min</w:t>
            </w:r>
          </w:p>
        </w:tc>
      </w:tr>
      <w:tr>
        <w:tc>
          <w:tcPr>
            <w:tcW w:type="dxa" w:w="2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Zelftoets</w:t>
            </w:r>
          </w:p>
        </w:tc>
        <w:tc>
          <w:tcPr>
            <w:tcW w:type="dxa" w:w="17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Achteraf</w:t>
            </w:r>
          </w:p>
        </w:tc>
        <w:tc>
          <w:tcPr>
            <w:tcW w:type="dxa" w:w="1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Individueel</w:t>
            </w:r>
          </w:p>
        </w:tc>
        <w:tc>
          <w:tcPr>
            <w:tcW w:type="dxa" w:w="252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25 min</w:t>
            </w:r>
          </w:p>
        </w:tc>
      </w:tr>
    </w:tbl>
    <w:p>
      <w:r>
        <w:br w:type="page"/>
      </w:r>
    </w:p>
    <w:p>
      <w:pPr>
        <w:spacing w:after="40" w:before="20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1  ·  45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Waar liggen de tien punten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Vaststellen dat de bron van punten anders is dan bij de vorige stap.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Neem je scorerapporten van Fundamentals en van je twee specialistexamens.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per kennisgebied je score en markeer de gebieden onder de 70 procent.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Bereken hoeveel punten er in die randgebieden liggen.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Typeer je fouten opnieuw en stel vast hoeveel er nog uit tempo of lezen komen.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Toets jezelf op vijf onderscheidingen uit hoofdstuk 2 door beide begrippen te definiëren zonder boek.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Stel je studieplan op: eerst de randgebieden, dan de diepte.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Beoordeel eerlijk of je bereid bent te studeren in gebieden waar je niet goed in bent.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Puntanalyse per gebied, foutentypering, definitietoets en een studieplan met volgorde.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Het klassieke patroon: sterke scores op je twee specialismen, zwakke op de rest. Voor Master moet die rest omhoog, en dat is minder leuk werk dan verdiepen waar je al goed in bent.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40" w:before="20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2  ·  50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Dossier tegen de criteria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Je ervaringsdossier beoordelen zoals een beoordelaar dat zou doen.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Neem je dossier uit deel 20 en vul het aan met de capstone uit deel 21.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Beoordeel het op de vijf criteria uit hoofdstuk 3.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Tel hoeveel kennisgebieden je opdrachten samen raken en of dat er minstens zes zijn.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Controleer per opdracht of het genomen besluit erbij staat, en wat er daarna veranderde.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Herschrijf drie beschrijvingen van "wij hebben" naar wat jij deed en wat er zonder jou anders was gegaan.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Voeg één opdracht toe die niet liep, met een eerlijke analyse.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wat er nog ontbreekt en hoe je dat in de komende twee jaar aanvult.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Beoordeeld dossier met dekking over kennisgebieden, drie herschreven beschrijvingen en één mislukte opdracht.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Een dossier met uitsluitend successen leest als een verkooppraatje. Eén opdracht die niet liep, met een eerlijke analyse, doet meer voor je geloofwaardigheid dan een zesde succes.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40" w:before="20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3  ·  90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Proefexamen 80%-band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Ervaren waarop de bovenste band toetst.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Maak het proefexamen van honderd vragen in negentig minuten, open boek.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Markeer tijdens het examen de vragen die twee kennisgebieden combineren.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Markeer de vragen die naar een uitzondering op een vuistregel vragen.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Noteer je tussentijd bij vraag vijftig.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Scoor per kennisgebied en bepaal je afstand tot de tachtig procent.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Typeer je fouten en stel vast welk deel uit diepte komt en welk uit randgebieden.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Vergelijk je score met die van je Fundamentals-examen op dezelfde gebieden.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Score per gebied, foutentypering, en de vergelijking met je eerdere examen.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De gecombineerde vragen zijn oververtegenwoordigd in de bovenste band en zijn niet met opzoeken op te lossen: het antwoord staat in twee hoofdstukken tegelijk en nergens als geheel.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40" w:before="20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4  ·  60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Methode kiezen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Voor een echte vraag bepalen welke methode kan en welke afvalt.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De vraag: heeft het nieuwe deelnemersportaal geleid tot minder telefoontjes?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Beoordeel per methode uit hoofdstuk 5 of hij hier toepasbaar is.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Benoem per methode de dragende aanname en beoordeel of die verdedigbaar is.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welke methode je zou kiezen en waarom de andere drie afvallen.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Beschrijf welke gegevens je nodig hebt en of die beschikbaar zijn.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wat er verandert als blijkt dat het keuzemenu in dezelfde maand is aangepast.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Formuleer je conclusie over de haalbaarheid in drie zinnen voor de opdrachtgever.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Vier beoordeelde methoden met aannames, een keuze met drie afwijzingen, en een haalbaarheidsoordeel.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De Nautilus-deelnemers zijn later aangesloten en vormen dus een onbehandelde groep. Toets wel of beide groepen vóór de uitrol dezelfde ontwikkeling lieten zien — anders valt de hoofdaanname weg.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40" w:before="20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5  ·  65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Aannames falsificeren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De dragende aanname onder druk zetten in plaats van hem te noemen.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Neem de dataset en je gekozen methode uit opdracht 4.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Voer de toets op parallelle voorgeschiedenis uit en beoordeel de uitkomst.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Voer een placebotoets uit op een periode waarin niets gebeurde.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Kies een uitkomst die de interventie niet kan beïnvloeden en toets die.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Voer een gevoeligheidsanalyse uit: hoe sterk zou een verborgen factor moeten zijn?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Teken het causale diagram en bepaal waarop je wel en niet corrigeert.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Beoordeel of corrigeren voor het aantal ontvangen brieven verstandig is, en verantwoord dat.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Formuleer je bevinding volgens de rapportageregel: aanname, toets, resultaat, dan pas het effect.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Vier uitgevoerde toetsen, een causaal diagram met correctiekeuzes, en een bevinding in de juiste volgorde.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Het aantal ontvangen brieven wordt door zowel portaalgebruik als belgedrag beïnvloed. Corrigeren daarvoor creëert een verband dat er niet was — een van de weinige manieren waarop corrigeren de zaak actief verslechtert.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40" w:before="20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6  ·  40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Je eigen causale uitspraak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Terugkijken op iets wat je zelf hebt beweerd.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Neem de causale uitspraak die je ooit hebt gedaan.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welke methode er impliciet onder lag, ook als je er geen naam aan gaf.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Benoem de dragende aanname en beoordeel of die destijds verdedigbaar was.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Toets aan de vier situaties uit hoofdstuk 8: had je de uitspraak mogen doen?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of je hem nu anders zou formuleren, en hoe.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Bespreek met je duopartner wat je destijds tegen de opdrachtgever had moeten zeggen.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Analyse van je eigen uitspraak, met een herformulering of de vaststelling dat hij niet houdbaar was.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"Dit verband is er, deze verklaringen kan ik niet uitsluiten, en een oorzakelijke uitspraak is niet verdedigbaar" voelt als falen en is het tegendeel — het is precies het oordeel waarvoor je op dit niveau wordt ingehuurd.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40" w:before="20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7  ·  45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Planning en go/no-go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Een plan dat de examens én het dossier haalt.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Maak je eigen versie van het twaalfwekenschema, aangepast aan je beschikbare tijd.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Plan het ervaringsdossier parallel, niet erna.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per examen een datum en een go/no-go-criterium in een consistente proefscore.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wie je dossier tegenleest, en vraag het.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Beoordeel of de AIGP dit jaar realistisch is of dat je hem uitstelt.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Controleer de actuele eisen voor Master bij DAMA en noteer of ze afwijken van dit deel.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Zet de hercertificeringsherinneringen voor alle behaalde certificeringen in je agenda.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Planning met data, go/no-go-criteria, een tegenlezer, en een gecontroleerde eisenlijst.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Het dossier na de examens plannen betekent het uitstellen. Dat is de meest voorkomende reden dat mensen op Practitioner blijven staan terwijl ze de examens allang hebben.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after="200" w:before="420"/>
      </w:pPr>
      <w:r>
        <w:rPr>
          <w:rFonts w:ascii="Cambria" w:cs="Cambria" w:eastAsia="Cambria" w:hAnsi="Cambria"/>
          <w:b/>
          <w:bCs/>
          <w:color w:val="1B4A48"/>
          <w:sz w:val="34"/>
          <w:szCs w:val="34"/>
        </w:rPr>
        <w:t xml:space="preserve">Zelftoets</w:t>
      </w:r>
    </w:p>
    <w:p>
      <w:pPr>
        <w:spacing w:after="140" w:line="288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12 meerkeuzevragen in de stijl van de scenariovragen die je op het examen tegenkomt. Deze vragen zijn door Ductus zelf opgesteld; het zijn geen examenvragen en ze zijn niet ontleend aan officieel examenmateriaal. De antwoorden krijg je van je docent.</w:t>
      </w:r>
    </w:p>
    <w:p>
      <w:pPr>
        <w:spacing w:after="140" w:line="288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Werk zonder hulpmiddelen. Noteer bij elke vraag ook je zekerheid — dat maakt de nabespreking bruikbaarder dan het aantal goede antwoorden.</w:t>
      </w:r>
    </w:p>
    <w:p>
      <w:pPr>
        <w:spacing w:after="140"/>
      </w:pPr>
      <w:r>
        <w:t xml:space="preserve"/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1.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Waar komen de tien procentpunt van 70 naar 80 vandaan?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Vooral uit tempo.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Vrijwel geheel uit kennis: de randgebieden en de diepte.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Uit leesfouten.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Uit de specialismen.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2.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Wat toetst de bovenste band dat de onderste niet toetst?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Definities.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Uitzonderingen op vuistregels en vragen die twee kennisgebieden combineren.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Rekenvaardigheid.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Snelheid.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3.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Wat zoekt een beoordelaar in een ervaringsdossier dat er meestal niet in staat?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Projectnamen.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Wat jij deed en wat er zonder jou anders was gegaan.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duur van elke opdracht.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Referenties.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4.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Waarom neem je een opdracht op die niet liep?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Om eerlijk te zijn.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Een dossier met uitsluitend successen leest als een verkooppraatje; één eerlijke analyse doet meer dan een zesde succes.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Om het dossier langer te maken.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Dat wordt niet aanbevolen.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5.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Wat is de dragende aanname bij verschil-in-verschillen?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groepen zijn identiek.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Zonder interventie zouden beide groepen dezelfde ontwikkeling hebben doorgemaakt.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steekproef is willekeurig.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Er is geen meetfout.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6.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Wanneer past regressiediscontinuïteit?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Bij een vergelijkbare onbehandelde groep.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Bij een harde drempel waaraan de interventie hangt.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Bij veel waarneembare kenmerken.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Bij een instrumentele variabele.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7.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Wat is de zwakte van matching in de portaalcasus?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Te weinig data.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Digitale vaardigheid is een onwaarneembaar verschil dat zowel portaalgebruik als belgedrag bepaalt.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methode is te ingewikkeld.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Er is geen controlegroep.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8.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Wat toont een placebotoets aan?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Dat het effect echt is.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Dat je iets anders meet, als je op een periode zonder interventie toch een effect vindt.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Dat de steekproef groot genoeg is.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Dat de aanname klopt.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9.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Waarop corrigeer je níét?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Op een gemeenschappelijke oorzaak.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Op een variabele die tussen behandeling en uitkomst ligt, of die door beide wordt beïnvloed.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Op leeftijd.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Op de periode.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10.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Waarom is corrigeren voor het aantal ontvangen brieven onverstandig?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Het is niet gemeten.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Het wordt door zowel portaalgebruik als belgedrag beïnvloed, dus corrigeren creëert een schijnverband.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Het is een confounder.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Het maakt het model te complex.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11.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Wat is de rapportagevolgorde bij een causale analyse?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Effect, dan aanname.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Aanname, toets, resultaat van de toets, dan pas het effect.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Alleen het effect met een interval.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Methode, effect, beperkingen.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12.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De opdrachtgever vraagt om een causale uitspraak die geen enkele methode draagt. Wat doe je?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beste beschikbare methode toepassen met een voorbehoud.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Zeggen dat het verband er is, welke verklaringen je niet kunt uitsluiten, en dat een oorzakelijke uitspraak niet verdedigbaar is.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vraag herformuleren tot iets wat wel kan.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Een schatting geven met een ruim interval.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r>
        <w:br w:type="page"/>
      </w:r>
    </w:p>
    <w:p>
      <w:pPr>
        <w:pStyle w:val="Heading1"/>
        <w:spacing w:after="200" w:before="420"/>
      </w:pPr>
      <w:r>
        <w:rPr>
          <w:rFonts w:ascii="Cambria" w:cs="Cambria" w:eastAsia="Cambria" w:hAnsi="Cambria"/>
          <w:b/>
          <w:bCs/>
          <w:color w:val="1B4A48"/>
          <w:sz w:val="34"/>
          <w:szCs w:val="34"/>
        </w:rPr>
        <w:t xml:space="preserve">Reflectie</w:t>
      </w:r>
    </w:p>
    <w:p>
      <w:pPr>
        <w:spacing w:after="140" w:line="288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Rond het deel af met drie korte antwoorden. Bewaar ze — je hebt ze nodig bij de capstone van dit niveau.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F7D74"/>
          <w:sz w:val="22"/>
          <w:szCs w:val="22"/>
        </w:rPr>
        <w:t xml:space="preserve">Ben je bereid te studeren in de gebieden waar je niet goed in bent?</w:t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F7D74"/>
          <w:sz w:val="22"/>
          <w:szCs w:val="22"/>
        </w:rPr>
        <w:t xml:space="preserve">Welke opdracht in je dossier zou een beoordelaar als eerste terzijde leggen?</w:t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F7D74"/>
          <w:sz w:val="22"/>
          <w:szCs w:val="22"/>
        </w:rPr>
        <w:t xml:space="preserve">Welke causale uitspraak heb jij gedaan die je nu anders zou formuleren?</w:t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CE" w:sz="4"/>
      </w:pBdr>
      <w:spacing w:before="120"/>
      <w:jc w:val="right"/>
    </w:pPr>
    <w:r>
      <w:rPr>
        <w:rFonts w:ascii="Calibri" w:cs="Calibri" w:eastAsia="Calibri" w:hAnsi="Calibri"/>
        <w:color w:val="5F7375"/>
        <w:sz w:val="15"/>
        <w:szCs w:val="15"/>
      </w:rPr>
      <w:t xml:space="preserve">Ductus B.V.  ·  Deel 28 — Examentraining Master en causale analyse  ·  </w:t>
    </w:r>
    <w:r>
      <w:rPr>
        <w:rFonts w:ascii="Calibri" w:cs="Calibri" w:eastAsia="Calibri" w:hAnsi="Calibri"/>
        <w:color w:val="5F7375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220"/>
      </w:pPr>
      <w:rPr>
        <w:color w:val="3F7D7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  <w:rPr>
        <w:b/>
        <w:bCs/>
        <w:color w:val="3F7D7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Examentraining Master en causale analyse — Werkboek</dc:title>
  <dc:creator>Ductus B.V.</dc:creator>
  <dc:description>Cursusmateriaal datamanagement, data-analyse en data governance</dc:description>
  <cp:lastModifiedBy>Un-named</cp:lastModifiedBy>
  <cp:revision>1</cp:revision>
  <dcterms:created xsi:type="dcterms:W3CDTF">2026-08-05T14:04:35.315Z</dcterms:created>
  <dcterms:modified xsi:type="dcterms:W3CDTF">2026-08-05T14:04:35.315Z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