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9 — Werkboek</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rPr>
          <w:rFonts w:ascii="DM Sans" w:cs="DM Sans" w:eastAsia="DM Sans" w:hAnsi="DM Sans"/>
          <w:color w:val="14213D"/>
          <w:sz w:val="22"/>
          <w:szCs w:val="22"/>
        </w:rPr>
        <w:t xml:space="preserve">Deel 9 — IT Environment</w:t>
      </w:r>
    </w:p>
    <w:p>
      <w:pPr>
        <w:spacing w:after="160"/>
      </w:pPr>
      <w:r>
        <w:rPr>
          <w:rFonts w:ascii="DM Sans" w:cs="DM Sans" w:eastAsia="DM Sans" w:hAnsi="DM Sans"/>
          <w:b/>
          <w:bCs/>
          <w:color w:val="14213D"/>
          <w:sz w:val="22"/>
          <w:szCs w:val="22"/>
        </w:rPr>
        <w:t xml:space="preserve">Niveau 1 — De kern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Leeftijd is geen risicomaat</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Denk aan drie systemen uit je eigen werkomgeving: één dat je zelf als "risicovol" zou bestempelen, één dat je als "veilig" zou bestempelen, en één waar je eigenlijk niet goed over hebt nagedacht.</w:t>
      </w:r>
    </w:p>
    <w:p>
      <w:pPr>
        <w:spacing w:after="160"/>
      </w:pPr>
      <w:r>
        <w:rPr>
          <w:rFonts w:ascii="DM Sans" w:cs="DM Sans" w:eastAsia="DM Sans" w:hAnsi="DM Sans"/>
          <w:color w:val="14213D"/>
          <w:sz w:val="22"/>
          <w:szCs w:val="22"/>
        </w:rPr>
        <w:t xml:space="preserve">Voor elk: wat is de leeftijd, wat is de technische gezondheid (los van leeftijd), en wat is de bedrijfskriticaliteit? Valt je eigen intuïtieve label samen met wat de twee assen zeggen, of niet?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De legacytriage</w:t>
      </w:r>
    </w:p>
    <w:p>
      <w:pPr>
        <w:spacing w:after="200"/>
        <w:jc w:val="center"/>
      </w:pPr>
      <w:r>
        <w:rPr>
          <w:rFonts w:ascii="DM Sans" w:cs="DM Sans" w:eastAsia="DM Sans" w:hAnsi="DM Sans"/>
          <w:i/>
          <w:iCs/>
          <w:color w:val="55606F"/>
          <w:sz w:val="22"/>
          <w:szCs w:val="22"/>
        </w:rPr>
        <w:t xml:space="preserve">Individueel, 25 minuten</w:t>
      </w:r>
    </w:p>
    <w:p>
      <w:pPr>
        <w:spacing w:after="160"/>
      </w:pPr>
      <w:r>
        <w:rPr>
          <w:rFonts w:ascii="DM Sans" w:cs="DM Sans" w:eastAsia="DM Sans" w:hAnsi="DM Sans"/>
          <w:color w:val="14213D"/>
          <w:sz w:val="22"/>
          <w:szCs w:val="22"/>
        </w:rPr>
        <w:t xml:space="preserve">Breng minimaal acht systemen uit je eigen omgeving in kaart in het kwadrant.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Systeem</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Technische gezondheid</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Kriticaliteit</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Kwadrant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bl>
    <w:p>
      <w:pPr>
        <w:spacing w:after="160"/>
      </w:pPr>
    </w:p>
    <w:p>
      <w:pPr>
        <w:spacing w:after="160"/>
      </w:pPr>
      <w:r>
        <w:rPr>
          <w:rFonts w:ascii="DM Sans" w:cs="DM Sans" w:eastAsia="DM Sans" w:hAnsi="DM Sans"/>
          <w:b/>
          <w:bCs/>
          <w:color w:val="14213D"/>
          <w:sz w:val="22"/>
          <w:szCs w:val="22"/>
        </w:rPr>
        <w:t xml:space="preserve">Vervolgvraag.</w:t>
      </w:r>
      <w:r>
        <w:rPr>
          <w:rFonts w:ascii="DM Sans" w:cs="DM Sans" w:eastAsia="DM Sans" w:hAnsi="DM Sans"/>
          <w:color w:val="14213D"/>
          <w:sz w:val="22"/>
          <w:szCs w:val="22"/>
        </w:rPr>
        <w:t xml:space="preserve"> Welk systeem stond, vóór deze oefening, hoger of lager op je mentale prioriteitenlijst dan waar het kwadrant het nu plaatst?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Kaders of ontwerp</w:t>
      </w:r>
    </w:p>
    <w:p>
      <w:pPr>
        <w:spacing w:after="200"/>
        <w:jc w:val="center"/>
      </w:pPr>
      <w:r>
        <w:rPr>
          <w:rFonts w:ascii="DM Sans" w:cs="DM Sans" w:eastAsia="DM Sans" w:hAnsi="DM Sans"/>
          <w:i/>
          <w:iCs/>
          <w:color w:val="55606F"/>
          <w:sz w:val="22"/>
          <w:szCs w:val="22"/>
        </w:rPr>
        <w:t xml:space="preserve">In tweetallen, 20 minuten</w:t>
      </w:r>
    </w:p>
    <w:p>
      <w:pPr>
        <w:spacing w:after="160"/>
      </w:pPr>
      <w:r>
        <w:rPr>
          <w:rFonts w:ascii="DM Sans" w:cs="DM Sans" w:eastAsia="DM Sans" w:hAnsi="DM Sans"/>
          <w:color w:val="14213D"/>
          <w:sz w:val="22"/>
          <w:szCs w:val="22"/>
        </w:rPr>
        <w:t xml:space="preserve">Voor elk van de volgende uitspraken die in een architectuurgremium zouden kunnen vallen: is dit kaders stellen of ontwerpen? Zo nodig: herschrijf de uitspraak zodat hij wél kaders stelt in plaats van ontwerpt.</w:t>
      </w:r>
    </w:p>
    <w:p>
      <w:pPr>
        <w:pStyle w:val="ListParagraph"/>
        <w:numPr>
          <w:ilvl w:val="0"/>
          <w:numId w:val="2"/>
        </w:numPr>
      </w:pPr>
      <w:r>
        <w:rPr>
          <w:rFonts w:ascii="DM Sans" w:cs="DM Sans" w:eastAsia="DM Sans" w:hAnsi="DM Sans"/>
          <w:color w:val="14213D"/>
          <w:sz w:val="22"/>
          <w:szCs w:val="22"/>
        </w:rPr>
        <w:t xml:space="preserve">"Elk nieuw koppelvlak met een externe partij gebruikt asynchrone berichten, geen synchrone aanroepen."</w:t>
      </w:r>
    </w:p>
    <w:p>
      <w:pPr>
        <w:pStyle w:val="ListParagraph"/>
        <w:numPr>
          <w:ilvl w:val="0"/>
          <w:numId w:val="2"/>
        </w:numPr>
      </w:pPr>
      <w:r>
        <w:rPr>
          <w:rFonts w:ascii="DM Sans" w:cs="DM Sans" w:eastAsia="DM Sans" w:hAnsi="DM Sans"/>
          <w:color w:val="14213D"/>
          <w:sz w:val="22"/>
          <w:szCs w:val="22"/>
        </w:rPr>
        <w:t xml:space="preserve">"Voor dit specifieke koppelvlak gebruiken we RabbitMQ."</w:t>
      </w:r>
    </w:p>
    <w:p>
      <w:pPr>
        <w:pStyle w:val="ListParagraph"/>
        <w:numPr>
          <w:ilvl w:val="0"/>
          <w:numId w:val="2"/>
        </w:numPr>
      </w:pPr>
      <w:r>
        <w:rPr>
          <w:rFonts w:ascii="DM Sans" w:cs="DM Sans" w:eastAsia="DM Sans" w:hAnsi="DM Sans"/>
          <w:color w:val="14213D"/>
          <w:sz w:val="22"/>
          <w:szCs w:val="22"/>
        </w:rPr>
        <w:t xml:space="preserve">"Persoonsgegevens worden nooit ongecodeerd opgeslagen."</w:t>
      </w:r>
    </w:p>
    <w:p>
      <w:pPr>
        <w:pStyle w:val="ListParagraph"/>
        <w:numPr>
          <w:ilvl w:val="0"/>
          <w:numId w:val="2"/>
        </w:numPr>
      </w:pPr>
      <w:r>
        <w:rPr>
          <w:rFonts w:ascii="DM Sans" w:cs="DM Sans" w:eastAsia="DM Sans" w:hAnsi="DM Sans"/>
          <w:color w:val="14213D"/>
          <w:sz w:val="22"/>
          <w:szCs w:val="22"/>
        </w:rPr>
        <w:t xml:space="preserve">"Deze tabel krijgt de volgende kolomstructuur..."</w:t>
      </w:r>
    </w:p>
    <w:p>
      <w:pPr>
        <w:pStyle w:val="ListParagraph"/>
        <w:numPr>
          <w:ilvl w:val="0"/>
          <w:numId w:val="2"/>
        </w:numPr>
      </w:pPr>
      <w:r>
        <w:rPr>
          <w:rFonts w:ascii="DM Sans" w:cs="DM Sans" w:eastAsia="DM Sans" w:hAnsi="DM Sans"/>
          <w:color w:val="14213D"/>
          <w:sz w:val="22"/>
          <w:szCs w:val="22"/>
        </w:rPr>
        <w:t xml:space="preserve">"Elk team documenteert zijn architectuurbesluiten in het besluitenlogboek."</w:t>
      </w:r>
    </w:p>
    <w:p>
      <w:pPr>
        <w:pStyle w:val="ListParagraph"/>
        <w:numPr>
          <w:ilvl w:val="0"/>
          <w:numId w:val="2"/>
        </w:numPr>
      </w:pPr>
      <w:r>
        <w:rPr>
          <w:rFonts w:ascii="DM Sans" w:cs="DM Sans" w:eastAsia="DM Sans" w:hAnsi="DM Sans"/>
          <w:color w:val="14213D"/>
          <w:sz w:val="22"/>
          <w:szCs w:val="22"/>
        </w:rPr>
        <w:t xml:space="preserve">"Dit specifieke besluit wordt als volgt gemotiveerd: ..."</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Het besluitenlogboek raadplegen</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Neem het besluitenlogboek dat je in deel 7 hebt ingevuld (opdracht 2 daar). Stel je een toekomstige situatie voor waarin iemand anders — een nieuwe collega, of jijzelf over twee jaar — dit besluit zou moeten kunnen terugvinden en begrijpen zonder jou te kunnen vragen.</w:t>
      </w:r>
    </w:p>
    <w:p>
      <w:pPr>
        <w:spacing w:after="160"/>
      </w:pPr>
      <w:r>
        <w:rPr>
          <w:rFonts w:ascii="DM Sans" w:cs="DM Sans" w:eastAsia="DM Sans" w:hAnsi="DM Sans"/>
          <w:b/>
          <w:bCs/>
          <w:color w:val="14213D"/>
          <w:sz w:val="22"/>
          <w:szCs w:val="22"/>
        </w:rPr>
        <w:t xml:space="preserve">a.</w:t>
      </w:r>
      <w:r>
        <w:rPr>
          <w:rFonts w:ascii="DM Sans" w:cs="DM Sans" w:eastAsia="DM Sans" w:hAnsi="DM Sans"/>
          <w:color w:val="14213D"/>
          <w:sz w:val="22"/>
          <w:szCs w:val="22"/>
        </w:rPr>
        <w:t xml:space="preserve"> Is het vijfde veld (heroverwegingsmoment) specifiek genoeg om te herkennen wanneer het moment is aangebroken?</w:t>
      </w:r>
    </w:p>
    <w:p>
      <w:pPr>
        <w:spacing w:after="160"/>
      </w:pPr>
      <w:r>
        <w:rPr>
          <w:rFonts w:ascii="DM Sans" w:cs="DM Sans" w:eastAsia="DM Sans" w:hAnsi="DM Sans"/>
          <w:b/>
          <w:bCs/>
          <w:color w:val="14213D"/>
          <w:sz w:val="22"/>
          <w:szCs w:val="22"/>
        </w:rPr>
        <w:t xml:space="preserve">b.</w:t>
      </w:r>
      <w:r>
        <w:rPr>
          <w:rFonts w:ascii="DM Sans" w:cs="DM Sans" w:eastAsia="DM Sans" w:hAnsi="DM Sans"/>
          <w:color w:val="14213D"/>
          <w:sz w:val="22"/>
          <w:szCs w:val="22"/>
        </w:rPr>
        <w:t xml:space="preserve"> Wat zou je nu toevoegen, met de kennis van dit deel?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5 — De due diligence voor jouw organisatie</w:t>
      </w:r>
    </w:p>
    <w:p>
      <w:pPr>
        <w:spacing w:after="200"/>
        <w:jc w:val="center"/>
      </w:pPr>
      <w:r>
        <w:rPr>
          <w:rFonts w:ascii="DM Sans" w:cs="DM Sans" w:eastAsia="DM Sans" w:hAnsi="DM Sans"/>
          <w:i/>
          <w:iCs/>
          <w:color w:val="55606F"/>
          <w:sz w:val="22"/>
          <w:szCs w:val="22"/>
        </w:rPr>
        <w:t xml:space="preserve">In groepen van drie tot vier, 20 minuten</w:t>
      </w:r>
    </w:p>
    <w:p>
      <w:pPr>
        <w:spacing w:after="160"/>
      </w:pPr>
      <w:r>
        <w:rPr>
          <w:rFonts w:ascii="DM Sans" w:cs="DM Sans" w:eastAsia="DM Sans" w:hAnsi="DM Sans"/>
          <w:color w:val="14213D"/>
          <w:sz w:val="22"/>
          <w:szCs w:val="22"/>
        </w:rPr>
        <w:t xml:space="preserve">Stel je voor dat jullie organisatie morgen een vergelijkbare kans krijgt als Meridiaan (een fusie, overname, nieuwe grote klant, samenwerking). Welke twee systemen zouden, op basis van jullie eigen kwadrant uit opdracht 2, in het kwadrant "prioritair aanpakken" vallen? Wat zou er mis kunnen gaan als die twee systemen niet vooraf worden aangepakt?</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Leeftijd is geen risicomaat</w:t>
      </w:r>
    </w:p>
    <w:p>
      <w:pPr>
        <w:spacing w:after="160"/>
      </w:pPr>
      <w:r>
        <w:rPr>
          <w:rFonts w:ascii="DM Sans" w:cs="DM Sans" w:eastAsia="DM Sans" w:hAnsi="DM Sans"/>
          <w:color w:val="14213D"/>
          <w:sz w:val="22"/>
          <w:szCs w:val="22"/>
        </w:rPr>
        <w:t xml:space="preserve">Geen modelantwoord. Verwacht patroon: het systeem waar deelnemers "eigenlijk niet goed over hebben nagedacht" blijkt bij toepassing van de twee assen vaak in het kwadrant "prioritair aanpakken" te vallen — precies omdat het onder de radar bleef. Dat is de kern van deze opdracht: het kwadrant maakt zichtbaar wat intuïtie mist, niet omdat intuïtie fout is, maar omdat intuïtie disproportioneel op leeftijd en zichtbaarheid let.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De legacytriage</w:t>
      </w:r>
    </w:p>
    <w:p>
      <w:pPr>
        <w:spacing w:after="160"/>
      </w:pPr>
      <w:r>
        <w:rPr>
          <w:rFonts w:ascii="DM Sans" w:cs="DM Sans" w:eastAsia="DM Sans" w:hAnsi="DM Sans"/>
          <w:color w:val="14213D"/>
          <w:sz w:val="22"/>
          <w:szCs w:val="22"/>
        </w:rPr>
        <w:t xml:space="preserve">Geen modelantwoord. Bij de vervolgvraag: het meest voorkomende patroon is dat een relatief jong, weinig zichtbaar systeem — vaak een koppelvlak of een tussenlaag, gebouwd door een externe partij of een inmiddels vertrokken team — hoger uitkomt dan verwacht. Dit spiegelt precies de casus in de reader (het vijf jaar oude koppelvlak versus de tweeëntwintig jaar oude polisadministratie).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Kaders of ontwerp</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Uitspraak</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Kaders of ontwerp</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Herschreven (indien ontwerp)</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Asynchrone berichten, geen synchrone aanroepen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Kaders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 dit koppelvlak gebruiken we RabbitMQ"</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Ontwerp</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"Elk asynchroon koppelvlak gebruikt een berichtenwachtrij die aan [kadereisen] voldoet" — het specifieke product is aan het projectteam</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Persoonsgegevens nooit ongecodeerd opgeslagen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Kaders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Specifieke kolomstructuur van een tabel</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Ontwerp</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dit hoort niet in een gremiumbesluit; hooguit een kader over welk soort gegevensmodel wordt gehanteerd</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5</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Elk team documenteert in het besluitenlogboek</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Kaders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6</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"Dit specifieke besluit wordt als volgt gemotiveerd"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Ontwerp</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dit is precies het soort besluit dat het projectteam zelf neemt en vastlegt — het gremium stelt de eis dat het gebeurt (kaders), niet de inhoud van elk specifiek besluit</w:t>
            </w:r>
          </w:p>
        </w:tc>
      </w:tr>
    </w:tbl>
    <w:p>
      <w:pPr>
        <w:spacing w:after="160"/>
      </w:pPr>
    </w:p>
    <w:p>
      <w:pPr>
        <w:spacing w:after="160"/>
      </w:pPr>
      <w:r>
        <w:rPr>
          <w:rFonts w:ascii="DM Sans" w:cs="DM Sans" w:eastAsia="DM Sans" w:hAnsi="DM Sans"/>
          <w:b/>
          <w:bCs/>
          <w:color w:val="14213D"/>
          <w:sz w:val="22"/>
          <w:szCs w:val="22"/>
        </w:rPr>
        <w:t xml:space="preserve">Het patroon.</w:t>
      </w:r>
      <w:r>
        <w:rPr>
          <w:rFonts w:ascii="DM Sans" w:cs="DM Sans" w:eastAsia="DM Sans" w:hAnsi="DM Sans"/>
          <w:color w:val="14213D"/>
          <w:sz w:val="22"/>
          <w:szCs w:val="22"/>
        </w:rPr>
        <w:t xml:space="preserve"> De kaderstellende uitspraken (1, 3, 5) benoemen een principe dat voor alle toekomstige gevallen geldt. De ontwerpuitspraken (2, 4, 6) kiezen een specifieke oplossing voor één geval. Zodra een gremium zich met specifieke productkeuzes of specifieke tabelstructuren gaat bezighouden, is het — in de taal van deel 1 — een ontwerpbureau met een goedkeuringsstempel geworden, niet langer een kaderstellend orgaan.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Het besluitenlogboek raadplegen</w:t>
      </w:r>
    </w:p>
    <w:p>
      <w:pPr>
        <w:spacing w:after="160"/>
      </w:pPr>
      <w:r>
        <w:rPr>
          <w:rFonts w:ascii="DM Sans" w:cs="DM Sans" w:eastAsia="DM Sans" w:hAnsi="DM Sans"/>
          <w:color w:val="14213D"/>
          <w:sz w:val="22"/>
          <w:szCs w:val="22"/>
        </w:rPr>
        <w:t xml:space="preserve">Geen modelantwoord. Meest voorkomende bevinding bij a: het vijfde veld is vaak te vaag geformuleerd om objectief te herkennen ("als de situatie verandert" in plaats van "zodra we een derde fonds aansluiten via hetzelfde patroon"). Dit is een directe, praktische correctie op het eigen werk uit deel 7 — precies de bedoeling van deze opdracht.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U5 — De due diligence voor jouw organisatie</w:t>
      </w:r>
    </w:p>
    <w:p>
      <w:pPr>
        <w:spacing w:after="160"/>
      </w:pPr>
      <w:r>
        <w:rPr>
          <w:rFonts w:ascii="DM Sans" w:cs="DM Sans" w:eastAsia="DM Sans" w:hAnsi="DM Sans"/>
          <w:color w:val="14213D"/>
          <w:sz w:val="22"/>
          <w:szCs w:val="22"/>
        </w:rPr>
        <w:t xml:space="preserve">Geen modelantwoord; beoordeel op concreetheid. Een goed antwoord benoemt een specifiek, aanwijsbaar risico ("als dit koppelvlak niet eerst wordt aangepakt, kan de nieuwe partner niet binnen de afgesproken termijn worden aangesloten omdat niemand meer weet hoe de authenticatielaag werkt") in plaats van een algemene zorg ("het zou kunnen mislopen"). Het verschil tussen die twee niveaus van concreetheid is precies wat de legacytriage als instrument moet opleveren.</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2026-08-17T16:47:11.819Z</dcterms:created>
  <dcterms:modified xsi:type="dcterms:W3CDTF">2026-08-17T16:47:11.819Z</dcterms:modified>
</cp:coreProperties>
</file>

<file path=docProps/custom.xml><?xml version="1.0" encoding="utf-8"?>
<Properties xmlns="http://schemas.openxmlformats.org/officeDocument/2006/custom-properties" xmlns:vt="http://schemas.openxmlformats.org/officeDocument/2006/docPropsVTypes"/>
</file>