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10 — Docentenhandleiding</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10 — Examentraining CITA-F en capstone</w:t>
      </w:r>
    </w:p>
    <w:p>
      <w:pPr>
        <w:spacing w:after="160"/>
      </w:pPr>
      <w:r>
        <w:rPr>
          <w:rFonts w:ascii="DM Sans" w:cs="DM Sans" w:eastAsia="DM Sans" w:hAnsi="DM Sans"/>
          <w:b/>
          <w:bCs/>
          <w:color w:val="14213D"/>
          <w:sz w:val="22"/>
          <w:szCs w:val="22"/>
        </w:rPr>
        <w:t xml:space="preserve">Niveau 1 — De kern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 — en waarom het een volle dag is</w:t>
      </w:r>
    </w:p>
    <w:p>
      <w:pPr>
        <w:spacing w:after="160"/>
      </w:pPr>
      <w:r>
        <w:rPr>
          <w:rFonts w:ascii="DM Sans" w:cs="DM Sans" w:eastAsia="DM Sans" w:hAnsi="DM Sans"/>
          <w:b/>
          <w:bCs/>
          <w:color w:val="14213D"/>
          <w:sz w:val="22"/>
          <w:szCs w:val="22"/>
        </w:rPr>
        <w:t xml:space="preserve">Dit is de enige sessie in niveau 1 die geen dagdeel maar een volledige dag beslaat.</w:t>
      </w:r>
      <w:r>
        <w:rPr>
          <w:rFonts w:ascii="DM Sans" w:cs="DM Sans" w:eastAsia="DM Sans" w:hAnsi="DM Sans"/>
          <w:color w:val="14213D"/>
          <w:sz w:val="22"/>
          <w:szCs w:val="22"/>
        </w:rPr>
        <w:t xml:space="preserve"> Reken op zes tot zeven uur inclusief pauzes en lunch. Kondig dat ruim van tevoren aan bij de deelnemers en bij hun leidinggevenden — dit is geen detail maar een logistieke voorwaarde voor het welslagen van de capstone.</w:t>
      </w:r>
    </w:p>
    <w:p>
      <w:pPr>
        <w:spacing w:after="160"/>
      </w:pPr>
      <w:r>
        <w:rPr>
          <w:rFonts w:ascii="DM Sans" w:cs="DM Sans" w:eastAsia="DM Sans" w:hAnsi="DM Sans"/>
          <w:b/>
          <w:bCs/>
          <w:color w:val="14213D"/>
          <w:sz w:val="22"/>
          <w:szCs w:val="22"/>
        </w:rPr>
        <w:t xml:space="preserve">Twee losse onderdelen, met een harde knip ertussen:</w:t>
      </w:r>
    </w:p>
    <w:p>
      <w:pPr>
        <w:pStyle w:val="ListParagraph"/>
        <w:numPr>
          <w:ilvl w:val="0"/>
          <w:numId w:val="2"/>
        </w:numPr>
      </w:pPr>
      <w:r>
        <w:rPr>
          <w:rFonts w:ascii="DM Sans" w:cs="DM Sans" w:eastAsia="DM Sans" w:hAnsi="DM Sans"/>
          <w:color w:val="14213D"/>
          <w:sz w:val="22"/>
          <w:szCs w:val="22"/>
        </w:rPr>
        <w:t xml:space="preserve">Het proefexamen (ochtend) — individueel, stil, onder examenomstandigheden.</w:t>
      </w:r>
    </w:p>
    <w:p>
      <w:pPr>
        <w:pStyle w:val="ListParagraph"/>
        <w:numPr>
          <w:ilvl w:val="0"/>
          <w:numId w:val="2"/>
        </w:numPr>
      </w:pPr>
      <w:r>
        <w:rPr>
          <w:rFonts w:ascii="DM Sans" w:cs="DM Sans" w:eastAsia="DM Sans" w:hAnsi="DM Sans"/>
          <w:color w:val="14213D"/>
          <w:sz w:val="22"/>
          <w:szCs w:val="22"/>
        </w:rPr>
        <w:t xml:space="preserve">De capstone-verdediging (middag) — mondeling, voor een panel, met voorbereidingstijd ertussen.</w:t>
      </w:r>
    </w:p>
    <w:p>
      <w:pPr>
        <w:spacing w:after="160"/>
      </w:pPr>
      <w:r>
        <w:rPr>
          <w:rFonts w:ascii="DM Sans" w:cs="DM Sans" w:eastAsia="DM Sans" w:hAnsi="DM Sans"/>
          <w:b/>
          <w:bCs/>
          <w:color w:val="14213D"/>
          <w:sz w:val="22"/>
          <w:szCs w:val="22"/>
        </w:rPr>
        <w:t xml:space="preserve">Wat succes hier betekent:</w:t>
      </w:r>
      <w:r>
        <w:rPr>
          <w:rFonts w:ascii="DM Sans" w:cs="DM Sans" w:eastAsia="DM Sans" w:hAnsi="DM Sans"/>
          <w:color w:val="14213D"/>
          <w:sz w:val="22"/>
          <w:szCs w:val="22"/>
        </w:rPr>
        <w:t xml:space="preserve"> niet dat elke deelnemer een perfecte verdediging geeft, maar dat elke deelnemer een dossier heeft gebouwd dat aantoonbaar de negen voorgaande delen samenbrengt, en dat kan navertellen aan drie verschillende luisteraars zonder het verhaal drie keer opnieuw te verzinnen.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volledige dag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09:00 – 09:15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Opening: terugblik op de zeven observaties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09:15 – 09:30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Examenlogistiek en -regels uitleggen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09:30 – 11:00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Proefexamen</w:t>
            </w:r>
            <w:r>
              <w:rPr>
                <w:rFonts w:ascii="DM Sans" w:cs="DM Sans" w:eastAsia="DM Sans" w:hAnsi="DM Sans"/>
                <w:color w:val="14213D"/>
                <w:sz w:val="22"/>
                <w:szCs w:val="22"/>
              </w:rPr>
              <w:t xml:space="preserve"> (40 vragen, 90 minuten)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 examenomstandigheden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11:00 – 11:20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Nakijken (docent) terwijl deelnemers pauzeren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11:20 – 11:45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Bespreking examenresultaten, per pijler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11:45 – 12:45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Lunch</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12:45 – 13:00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Briefing capstone: dossierstructuur, drie rollen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13:00 – 14:00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Dossier afmaken</w:t>
            </w:r>
            <w:r>
              <w:rPr>
                <w:rFonts w:ascii="DM Sans" w:cs="DM Sans" w:eastAsia="DM Sans" w:hAnsi="DM Sans"/>
                <w:color w:val="14213D"/>
                <w:sz w:val="22"/>
                <w:szCs w:val="22"/>
              </w:rPr>
              <w:t xml:space="preserve"> (checklist uit werkboek)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14:00 – 14:15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14:15 – 16:15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Capstone-verdedigingen</w:t>
            </w:r>
            <w:r>
              <w:rPr>
                <w:rFonts w:ascii="DM Sans" w:cs="DM Sans" w:eastAsia="DM Sans" w:hAnsi="DM Sans"/>
                <w:color w:val="14213D"/>
                <w:sz w:val="22"/>
                <w:szCs w:val="22"/>
              </w:rPr>
              <w:t xml:space="preserve"> (± 20 min per deelnemer: 12 min presentatie + 8 min vragen)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 voor panel, rest van de groep observeert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16:15 – 16:45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Gezamenlijke nabespreking: patronen over alle verdedigingen heen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16:45 – 17:00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Afsluiting niveau 1; vooruitblik niveau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spacing w:after="160"/>
      </w:pPr>
      <w:r>
        <w:rPr>
          <w:rFonts w:ascii="DM Sans" w:cs="DM Sans" w:eastAsia="DM Sans" w:hAnsi="DM Sans"/>
          <w:b/>
          <w:bCs/>
          <w:color w:val="14213D"/>
          <w:sz w:val="22"/>
          <w:szCs w:val="22"/>
        </w:rPr>
        <w:t xml:space="preserve">Bij een grote groep (meer dan acht deelnemers):</w:t>
      </w:r>
      <w:r>
        <w:rPr>
          <w:rFonts w:ascii="DM Sans" w:cs="DM Sans" w:eastAsia="DM Sans" w:hAnsi="DM Sans"/>
          <w:color w:val="14213D"/>
          <w:sz w:val="22"/>
          <w:szCs w:val="22"/>
        </w:rPr>
        <w:t xml:space="preserve"> de verdedigingen passen niet allemaal in één middag. Twee opties: (a) verdeel de groep over twee dagen, of (b) laat verdedigingen in kleinere subpanels parallel lopen met meerdere docenten/acteurs. Optie (a) heeft de voorkeur — de gezamenlijke nabespreking werkt beter als iedereen alle verdedigingen heeft gezien.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Het proefexamen — logistiek</w:t>
      </w:r>
    </w:p>
    <w:p>
      <w:pPr>
        <w:pStyle w:val="ListParagraph"/>
        <w:numPr>
          <w:ilvl w:val="0"/>
          <w:numId w:val="3"/>
        </w:numPr>
      </w:pPr>
      <w:r>
        <w:rPr>
          <w:rFonts w:ascii="DM Sans" w:cs="DM Sans" w:eastAsia="DM Sans" w:hAnsi="DM Sans"/>
          <w:color w:val="14213D"/>
          <w:sz w:val="22"/>
          <w:szCs w:val="22"/>
        </w:rPr>
        <w:t xml:space="preserve">Onder examenomstandigheden: geen telefoons, geen aantekeningen, tijd zichtbaar op het bord.</w:t>
      </w:r>
    </w:p>
    <w:p>
      <w:pPr>
        <w:pStyle w:val="ListParagraph"/>
        <w:numPr>
          <w:ilvl w:val="0"/>
          <w:numId w:val="3"/>
        </w:numPr>
      </w:pPr>
      <w:r>
        <w:rPr>
          <w:rFonts w:ascii="DM Sans" w:cs="DM Sans" w:eastAsia="DM Sans" w:hAnsi="DM Sans"/>
          <w:color w:val="14213D"/>
          <w:sz w:val="22"/>
          <w:szCs w:val="22"/>
        </w:rPr>
        <w:t xml:space="preserve">Kijk na tijdens de lunchpauze van de deelnemers, of laat ze elkaars antwoorden nakijken aan de hand van de antwoordsleutel als je de tijd wilt besparen — dat laatste heeft als bijeffect dat de discussie over foute antwoorden meteen op gang komt.</w:t>
      </w:r>
    </w:p>
    <w:p>
      <w:pPr>
        <w:pStyle w:val="ListParagraph"/>
        <w:numPr>
          <w:ilvl w:val="0"/>
          <w:numId w:val="3"/>
        </w:numPr>
      </w:pPr>
      <w:r>
        <w:rPr>
          <w:rFonts w:ascii="DM Sans" w:cs="DM Sans" w:eastAsia="DM Sans" w:hAnsi="DM Sans"/>
          <w:b/>
          <w:bCs/>
          <w:color w:val="14213D"/>
          <w:sz w:val="22"/>
          <w:szCs w:val="22"/>
        </w:rPr>
        <w:t xml:space="preserve">Bij de bespreking (11:20 – 11:45):</w:t>
      </w:r>
      <w:r>
        <w:rPr>
          <w:rFonts w:ascii="DM Sans" w:cs="DM Sans" w:eastAsia="DM Sans" w:hAnsi="DM Sans"/>
          <w:color w:val="14213D"/>
          <w:sz w:val="22"/>
          <w:szCs w:val="22"/>
        </w:rPr>
        <w:t xml:space="preserve"> ga niet vraag voor vraag langs alle veertig. Vraag per pijler welk percentage fout ging, en besteed tijd alleen aan de pijler(s) met de meeste fouten. Vrijwel altijd is dat IT Environment of Design — de twee pijlers met de meeste competenties en dus de meeste vragen.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De capstone — voorbereiding die je nodig hebt</w:t>
      </w:r>
    </w:p>
    <w:p>
      <w:pPr>
        <w:pStyle w:val="Heading3"/>
      </w:pPr>
      <w:r>
        <w:rPr>
          <w:rFonts w:ascii="DM Sans" w:cs="DM Sans" w:eastAsia="DM Sans" w:hAnsi="DM Sans"/>
          <w:color w:val="14213D"/>
          <w:sz w:val="22"/>
          <w:szCs w:val="22"/>
        </w:rPr>
        <w:t xml:space="preserve">4.1 Rolspelers regelen</w:t>
      </w:r>
    </w:p>
    <w:p>
      <w:pPr>
        <w:spacing w:after="160"/>
      </w:pPr>
      <w:r>
        <w:rPr>
          <w:rFonts w:ascii="DM Sans" w:cs="DM Sans" w:eastAsia="DM Sans" w:hAnsi="DM Sans"/>
          <w:color w:val="14213D"/>
          <w:sz w:val="22"/>
          <w:szCs w:val="22"/>
        </w:rPr>
        <w:t xml:space="preserve">Je hebt voor elke parallelle verdedigingssessie drie mensen nodig om Bart Hoekstra, de financieel directeur en de directeur Uitvoering te spelen. Dit kunnen collega-docenten, ervaren oud-deelnemers, of — bij een kleine groep — deelnemers die elkaars panel spelen bij toerbeurt (met als nadeel dat ze dan niet zelf worden beoordeeld op dat moment).</w:t>
      </w:r>
    </w:p>
    <w:p>
      <w:pPr>
        <w:spacing w:after="160"/>
      </w:pPr>
      <w:r>
        <w:rPr>
          <w:rFonts w:ascii="DM Sans" w:cs="DM Sans" w:eastAsia="DM Sans" w:hAnsi="DM Sans"/>
          <w:b/>
          <w:bCs/>
          <w:color w:val="14213D"/>
          <w:sz w:val="22"/>
          <w:szCs w:val="22"/>
        </w:rPr>
        <w:t xml:space="preserve">Rolbeschrijving Bart Hoekstra (CIO).</w:t>
      </w:r>
      <w:r>
        <w:rPr>
          <w:rFonts w:ascii="DM Sans" w:cs="DM Sans" w:eastAsia="DM Sans" w:hAnsi="DM Sans"/>
          <w:color w:val="14213D"/>
          <w:sz w:val="22"/>
          <w:szCs w:val="22"/>
        </w:rPr>
        <w:t xml:space="preserve"> Nuchter, oprecht geïnteresseerd, stelt de vraag naar herhaalbaarheid. Zijn kenmerkende vraag: "Wat garandeert dat de volgende architect dit ook doet?" Hij is niet vijandig maar wel kritisch op vaagheid.</w:t>
      </w:r>
    </w:p>
    <w:p>
      <w:pPr>
        <w:spacing w:after="160"/>
      </w:pPr>
      <w:r>
        <w:rPr>
          <w:rFonts w:ascii="DM Sans" w:cs="DM Sans" w:eastAsia="DM Sans" w:hAnsi="DM Sans"/>
          <w:b/>
          <w:bCs/>
          <w:color w:val="14213D"/>
          <w:sz w:val="22"/>
          <w:szCs w:val="22"/>
        </w:rPr>
        <w:t xml:space="preserve">Rolbeschrijving financieel directeur.</w:t>
      </w:r>
      <w:r>
        <w:rPr>
          <w:rFonts w:ascii="DM Sans" w:cs="DM Sans" w:eastAsia="DM Sans" w:hAnsi="DM Sans"/>
          <w:color w:val="14213D"/>
          <w:sz w:val="22"/>
          <w:szCs w:val="22"/>
        </w:rPr>
        <w:t xml:space="preserve"> Wil getallen. Onderbreekt bij een bewering zonder cijfer met: "Hoeveel is dat dan?" Kent de vier investeringstypen uit deel 3 en prikt door een renderend-argument heen als het eigenlijk een beschermende investering betreft.</w:t>
      </w:r>
    </w:p>
    <w:p>
      <w:pPr>
        <w:spacing w:after="160"/>
      </w:pPr>
      <w:r>
        <w:rPr>
          <w:rFonts w:ascii="DM Sans" w:cs="DM Sans" w:eastAsia="DM Sans" w:hAnsi="DM Sans"/>
          <w:b/>
          <w:bCs/>
          <w:color w:val="14213D"/>
          <w:sz w:val="22"/>
          <w:szCs w:val="22"/>
        </w:rPr>
        <w:t xml:space="preserve">Rolbeschrijving directeur Uitvoering.</w:t>
      </w:r>
      <w:r>
        <w:rPr>
          <w:rFonts w:ascii="DM Sans" w:cs="DM Sans" w:eastAsia="DM Sans" w:hAnsi="DM Sans"/>
          <w:color w:val="14213D"/>
          <w:sz w:val="22"/>
          <w:szCs w:val="22"/>
        </w:rPr>
        <w:t xml:space="preserve"> Bekend uit deel 4, 8 en 9 — gebruik dezelfde persoonlijkheid consistent: hoog invloedrijk, hoog betrokken, gewend om nauw betrokken te worden. Stelt de snelheidsvraag: "Wordt mijn team hier sneller of langzamer van?" Is te winnen met concrete voorbeelden, niet met beloftes.</w:t>
      </w:r>
    </w:p>
    <w:p>
      <w:pPr>
        <w:pStyle w:val="Heading3"/>
      </w:pPr>
      <w:r>
        <w:rPr>
          <w:rFonts w:ascii="DM Sans" w:cs="DM Sans" w:eastAsia="DM Sans" w:hAnsi="DM Sans"/>
          <w:color w:val="14213D"/>
          <w:sz w:val="22"/>
          <w:szCs w:val="22"/>
        </w:rPr>
        <w:t xml:space="preserve">4.2 De rubriek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Criterium</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Onvoldoende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Voldoende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Goed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Dossierstructuur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chronologisch verhaal, geen driedeling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driedeling aanwezig maar inconsistent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 zeven observaties consistent in dezelfde driedeling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Bewijsvoering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beweringen zonder cijfer of voorbeeld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meeste beweringen gedekt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elke bewering heeft een cijfer, voorbeeld of document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Aanpassing aan het register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één antwoord voor alle drie de rollen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wisselt van toon maar niet van inhoud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past inhoud én toon aan per vraagsteller, zonder de kern te verliezen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Omgang met tegenvragen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wordt defensief of ontwijkend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beantwoordt maar mist soms de kern van de vraag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beantwoordt direct, erkent onzekerheid waar die er is (deel 3-stijl)</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drie rode draden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afwezig of alleen aan het eind opgesomd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aanwezig maar los van de inhoud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zichtbaar verweven door de hele verdediging heen</w:t>
            </w:r>
          </w:p>
        </w:tc>
      </w:tr>
    </w:tbl>
    <w:p>
      <w:pPr>
        <w:spacing w:after="160"/>
      </w:pPr>
    </w:p>
    <w:p>
      <w:pPr>
        <w:spacing w:after="160"/>
      </w:pPr>
      <w:r>
        <w:rPr>
          <w:rFonts w:ascii="DM Sans" w:cs="DM Sans" w:eastAsia="DM Sans" w:hAnsi="DM Sans"/>
          <w:color w:val="14213D"/>
          <w:sz w:val="22"/>
          <w:szCs w:val="22"/>
        </w:rPr>
        <w:t xml:space="preserve">Een verdediging hoeft niet op elk criterium "goed" te scoren om te slagen — het slagingscriterium is dat er op geen enkel criterium "onvoldoende" wordt gescoord.</w:t>
      </w:r>
    </w:p>
    <w:p>
      <w:pPr>
        <w:pStyle w:val="Heading3"/>
      </w:pPr>
      <w:r>
        <w:rPr>
          <w:rFonts w:ascii="DM Sans" w:cs="DM Sans" w:eastAsia="DM Sans" w:hAnsi="DM Sans"/>
          <w:color w:val="14213D"/>
          <w:sz w:val="22"/>
          <w:szCs w:val="22"/>
        </w:rPr>
        <w:t xml:space="preserve">4.3 Tijdens de verdediging</w:t>
      </w:r>
    </w:p>
    <w:p>
      <w:pPr>
        <w:spacing w:after="160"/>
      </w:pPr>
      <w:r>
        <w:rPr>
          <w:rFonts w:ascii="DM Sans" w:cs="DM Sans" w:eastAsia="DM Sans" w:hAnsi="DM Sans"/>
          <w:b/>
          <w:bCs/>
          <w:color w:val="14213D"/>
          <w:sz w:val="22"/>
          <w:szCs w:val="22"/>
        </w:rPr>
        <w:t xml:space="preserve">Laat de rest van de groep observeren, niet negeren.</w:t>
      </w:r>
      <w:r>
        <w:rPr>
          <w:rFonts w:ascii="DM Sans" w:cs="DM Sans" w:eastAsia="DM Sans" w:hAnsi="DM Sans"/>
          <w:color w:val="14213D"/>
          <w:sz w:val="22"/>
          <w:szCs w:val="22"/>
        </w:rPr>
        <w:t xml:space="preserve"> Vraag hen om voor elke medestudent één ding te noteren dat ze zelf willen overnemen. Dit werkt beter dan een aparte feedbackronde en houdt de niet-verdedigende deelnemers actief betrokken.</w:t>
      </w:r>
    </w:p>
    <w:p>
      <w:pPr>
        <w:spacing w:after="160"/>
      </w:pPr>
      <w:r>
        <w:rPr>
          <w:rFonts w:ascii="DM Sans" w:cs="DM Sans" w:eastAsia="DM Sans" w:hAnsi="DM Sans"/>
          <w:b/>
          <w:bCs/>
          <w:color w:val="14213D"/>
          <w:sz w:val="22"/>
          <w:szCs w:val="22"/>
        </w:rPr>
        <w:t xml:space="preserve">Grijp als docent niet in tijdens de verdediging zelf</w:t>
      </w:r>
      <w:r>
        <w:rPr>
          <w:rFonts w:ascii="DM Sans" w:cs="DM Sans" w:eastAsia="DM Sans" w:hAnsi="DM Sans"/>
          <w:color w:val="14213D"/>
          <w:sz w:val="22"/>
          <w:szCs w:val="22"/>
        </w:rPr>
        <w:t xml:space="preserve"> — ook niet als een panellid een vraag stelt die de deelnemer duidelijk in de problemen brengt. Dat ongemak is functioneel; het is de dichtstbijzijnde benadering van een echt boardgesprek die deze cursus kan bieden, en een voorproefje van wat in niveau 3 (CITA-S/P) een reële boardervaring wordt.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Na de capstone — de gezamenlijke nabespreking (16:15 – 16:45)</w:t>
      </w:r>
    </w:p>
    <w:p>
      <w:pPr>
        <w:spacing w:after="160"/>
      </w:pPr>
      <w:r>
        <w:rPr>
          <w:rFonts w:ascii="DM Sans" w:cs="DM Sans" w:eastAsia="DM Sans" w:hAnsi="DM Sans"/>
          <w:color w:val="14213D"/>
          <w:sz w:val="22"/>
          <w:szCs w:val="22"/>
        </w:rPr>
        <w:t xml:space="preserve">Vraag niet naar individuele prestaties in het openbaar. Vraag naar patronen: welke observatie was het lastigst uit te leggen voor de meeste mensen? Welke panelrol stelde de scherpste vragen? Wat viel op aan het verschil tussen wie een chronologisch verhaal vertelde en wie de driedeling aanhield?</w:t>
      </w:r>
    </w:p>
    <w:p>
      <w:pPr>
        <w:spacing w:after="160"/>
      </w:pPr>
      <w:r>
        <w:rPr>
          <w:rFonts w:ascii="DM Sans" w:cs="DM Sans" w:eastAsia="DM Sans" w:hAnsi="DM Sans"/>
          <w:color w:val="14213D"/>
          <w:sz w:val="22"/>
          <w:szCs w:val="22"/>
        </w:rPr>
        <w:t xml:space="preserve">Sluit af met de erkenning dat wat vandaag is geoefend — een dossier bouwen, het aanpassen aan verschillende luisteraars, onder druk staande houden — precies de vaardigheden zijn die in niveau 3 bij een echte CITA-S- of CITA-P-boardreview worden getoetst, maar dan met een board van vakgenoten in plaats van een fictief MT.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Proefexamenresultaat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eigen voortgangsindicatie richting het echte CITA-F-examen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Capstonedossier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 volledig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vertrekpunt voor niveau 2 en later voor het CITA-S/P-dossier in niveau 3</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Ingevulde rubriek per deelnemer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docentenarchief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input voor eventuele certificering door Ductus zelf, indien van toepassing</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Benodigdheden</w:t>
      </w:r>
    </w:p>
    <w:p>
      <w:pPr>
        <w:pStyle w:val="ListParagraph"/>
        <w:numPr>
          <w:ilvl w:val="0"/>
          <w:numId w:val="3"/>
        </w:numPr>
      </w:pPr>
      <w:r>
        <w:rPr>
          <w:rFonts w:ascii="DM Sans" w:cs="DM Sans" w:eastAsia="DM Sans" w:hAnsi="DM Sans"/>
          <w:color w:val="14213D"/>
          <w:sz w:val="22"/>
          <w:szCs w:val="22"/>
        </w:rPr>
        <w:t xml:space="preserve">Proefexamen uitgeprint of digitaal beschikbaar, met een stille examenruimte</w:t>
      </w:r>
    </w:p>
    <w:p>
      <w:pPr>
        <w:pStyle w:val="ListParagraph"/>
        <w:numPr>
          <w:ilvl w:val="0"/>
          <w:numId w:val="3"/>
        </w:numPr>
      </w:pPr>
      <w:r>
        <w:rPr>
          <w:rFonts w:ascii="DM Sans" w:cs="DM Sans" w:eastAsia="DM Sans" w:hAnsi="DM Sans"/>
          <w:color w:val="14213D"/>
          <w:sz w:val="22"/>
          <w:szCs w:val="22"/>
        </w:rPr>
        <w:t xml:space="preserve">Drie rolspelers per parallelle verdedigingssessie, tijdig ingepland</w:t>
      </w:r>
    </w:p>
    <w:p>
      <w:pPr>
        <w:pStyle w:val="ListParagraph"/>
        <w:numPr>
          <w:ilvl w:val="0"/>
          <w:numId w:val="3"/>
        </w:numPr>
      </w:pPr>
      <w:r>
        <w:rPr>
          <w:rFonts w:ascii="DM Sans" w:cs="DM Sans" w:eastAsia="DM Sans" w:hAnsi="DM Sans"/>
          <w:color w:val="14213D"/>
          <w:sz w:val="22"/>
          <w:szCs w:val="22"/>
        </w:rPr>
        <w:t xml:space="preserve">Dossierchecklist uit het werkboek, uitgeprint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Vooruitblik voor de docent</w:t>
      </w:r>
    </w:p>
    <w:p>
      <w:pPr>
        <w:spacing w:after="160"/>
      </w:pPr>
      <w:r>
        <w:rPr>
          <w:rFonts w:ascii="DM Sans" w:cs="DM Sans" w:eastAsia="DM Sans" w:hAnsi="DM Sans"/>
          <w:color w:val="14213D"/>
          <w:sz w:val="22"/>
          <w:szCs w:val="22"/>
        </w:rPr>
        <w:t xml:space="preserve">Niveau 2 begint met deel 11 — Het engagement model. De casus maakt een sprong: Claudette krijgt haar eerste formele, eigen opdracht binnen een transformatieprogramma en moet voor het eerst haar diensten, afspraken en waarde expliciet maken — niet meer als individuele architect die zichzelf verantwoordt, maar als iemand wiens aanpak nu het uitgangspunt is voor anderen. Neem de reader van deel 11 door; het introduceert het opdrachtblad als nieuw instrument en bouwt voort op vrijwel alle instrumenten uit niveau 1.</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2026-08-17T16:47:12.120Z</dcterms:created>
  <dcterms:modified xsi:type="dcterms:W3CDTF">2026-08-17T16:47:12.120Z</dcterms:modified>
</cp:coreProperties>
</file>

<file path=docProps/custom.xml><?xml version="1.0" encoding="utf-8"?>
<Properties xmlns="http://schemas.openxmlformats.org/officeDocument/2006/custom-properties" xmlns:vt="http://schemas.openxmlformats.org/officeDocument/2006/docPropsVTypes"/>
</file>