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10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10 — Examentraining CITA-F en capstone</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10.1 Waar dit deel over gaat</w:t>
      </w:r>
    </w:p>
    <w:p>
      <w:pPr>
        <w:spacing w:after="160"/>
      </w:pPr>
      <w:r>
        <w:rPr>
          <w:rFonts w:ascii="DM Sans" w:cs="DM Sans" w:eastAsia="DM Sans" w:hAnsi="DM Sans"/>
          <w:color w:val="14213D"/>
          <w:sz w:val="22"/>
          <w:szCs w:val="22"/>
        </w:rPr>
        <w:t xml:space="preserve">Dit is geen nieuw onderwerp maar een afsluiting, en het bestaat uit twee losse onderdelen die één dag vullen: een proefexamen in de vorm van het echte CITA-F-examen, en een mondelinge verdediging van een dossier voor drie MT-rollen tegelijk.</w:t>
      </w:r>
    </w:p>
    <w:p>
      <w:pPr>
        <w:spacing w:after="160"/>
      </w:pPr>
      <w:r>
        <w:rPr>
          <w:rFonts w:ascii="DM Sans" w:cs="DM Sans" w:eastAsia="DM Sans" w:hAnsi="DM Sans"/>
          <w:color w:val="14213D"/>
          <w:sz w:val="22"/>
          <w:szCs w:val="22"/>
        </w:rPr>
        <w:t xml:space="preserve">Het proefexamen toetst kennis. De verdediging toetst iets anders: of je de negen delen die achter je liggen kunt samenbrengen tot één samenhangend verhaal, onder druk, voor mensen die niet dezelfde vraag stellen.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het CITA-F-examen afleggen onder realistische omstandigheden;</w:t>
      </w:r>
    </w:p>
    <w:p>
      <w:pPr>
        <w:pStyle w:val="ListParagraph"/>
        <w:numPr>
          <w:ilvl w:val="0"/>
          <w:numId w:val="2"/>
        </w:numPr>
      </w:pPr>
      <w:r>
        <w:rPr>
          <w:rFonts w:ascii="DM Sans" w:cs="DM Sans" w:eastAsia="DM Sans" w:hAnsi="DM Sans"/>
          <w:color w:val="14213D"/>
          <w:sz w:val="22"/>
          <w:szCs w:val="22"/>
        </w:rPr>
        <w:t xml:space="preserve">een minimum viable architecture-dossier samenstellen dat de zeven observaties uit dit niveau aantoonbaar sluit;</w:t>
      </w:r>
    </w:p>
    <w:p>
      <w:pPr>
        <w:pStyle w:val="ListParagraph"/>
        <w:numPr>
          <w:ilvl w:val="0"/>
          <w:numId w:val="2"/>
        </w:numPr>
      </w:pPr>
      <w:r>
        <w:rPr>
          <w:rFonts w:ascii="DM Sans" w:cs="DM Sans" w:eastAsia="DM Sans" w:hAnsi="DM Sans"/>
          <w:color w:val="14213D"/>
          <w:sz w:val="22"/>
          <w:szCs w:val="22"/>
        </w:rPr>
        <w:t xml:space="preserve">dat dossier mondeling verdedigen voor meerdere stakeholders met verschillende belangen tegelijk, zonder ze een voor een te bedienen alsof ze los van elkaar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10.2 De zeven observaties, teruggeblikt</w:t>
      </w:r>
    </w:p>
    <w:p>
      <w:pPr>
        <w:spacing w:after="80" w:before="200"/>
        <w:jc w:val="center"/>
      </w:pPr>
      <w:r>
        <w:drawing>
          <wp:inline distT="0" distB="0" distL="0" distR="0">
            <wp:extent cx="5715000" cy="3810000"/>
            <wp:effectExtent t="0" r="0" b="0" l="0"/>
            <wp:docPr id="1" name="figuur-10-1" descr="FIGUUR 10-1: tijdlijn van niveau 1, met alle zeven observaties op hun plek, elk met het instrument dat hem sloot" title="Figuur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10-1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misging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Gesloten in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Met welk instrument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niemand kon uitleggen waarvoor Claudette aan tafel zat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ene zin: waarde, niet activiteiten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kende het verdienmodel van Meridiaan niet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verdienmodelblad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voorstel strandde op kosten en baten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waarderingsblad, vier investeringstypen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werd te laat betrokken, dan als toetser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stakeholderkaart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documenten en presentaties kwamen niet aan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omgekeerde piramide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besluit was ooit vastgelegd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besluitenlogboek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kwaliteitseisen kwamen pas in productie boven water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8</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kwaliteitsprofiel</w:t>
            </w:r>
          </w:p>
        </w:tc>
      </w:tr>
    </w:tbl>
    <w:p>
      <w:pPr>
        <w:spacing w:after="160"/>
      </w:pPr>
    </w:p>
    <w:p>
      <w:pPr>
        <w:spacing w:after="160"/>
      </w:pPr>
      <w:r>
        <w:rPr>
          <w:rFonts w:ascii="DM Sans" w:cs="DM Sans" w:eastAsia="DM Sans" w:hAnsi="DM Sans"/>
          <w:color w:val="14213D"/>
          <w:sz w:val="22"/>
          <w:szCs w:val="22"/>
        </w:rPr>
        <w:t xml:space="preserve">Deel 6 en 9 sloten geen eigen observatie maar leverden het fundament: requirements en scope (deel 6), en legacy en governance (deel 9). Samen vormen deze negen delen het complete instrumentarium dat je vandaag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10.3 Het examen</w:t>
      </w:r>
    </w:p>
    <w:p>
      <w:pPr>
        <w:spacing w:after="160"/>
      </w:pPr>
      <w:r>
        <w:rPr>
          <w:rFonts w:ascii="DM Sans" w:cs="DM Sans" w:eastAsia="DM Sans" w:hAnsi="DM Sans"/>
          <w:color w:val="14213D"/>
          <w:sz w:val="22"/>
          <w:szCs w:val="22"/>
        </w:rPr>
        <w:t xml:space="preserve">Het CITA-F-examen bestaat uit vijfenzeventig meerkeuze- en waar/niet-waar-vragen, verspreid over de vijf kernpijlers, af te leggen in tweeënhalf uur. Zeventig procent is de score om te slagen.</w:t>
      </w:r>
    </w:p>
    <w:p>
      <w:pPr>
        <w:spacing w:after="160"/>
      </w:pPr>
      <w:r>
        <w:rPr>
          <w:rFonts w:ascii="DM Sans" w:cs="DM Sans" w:eastAsia="DM Sans" w:hAnsi="DM Sans"/>
          <w:color w:val="14213D"/>
          <w:sz w:val="22"/>
          <w:szCs w:val="22"/>
        </w:rPr>
        <w:t xml:space="preserve">Het proefexamen in dit deel volgt dezelfde vorm op kleinere schaal: veertig vragen, verdeeld over de vijf pijlers naar rato van hun gewicht in de BoK (Design en IT Environment het zwaarst, met negen en tien competenties; Human Dynamics en Quality Attributes iets lichter).</w:t>
      </w:r>
    </w:p>
    <w:p>
      <w:pPr>
        <w:spacing w:after="160"/>
      </w:pPr>
      <w:r>
        <w:rPr>
          <w:rFonts w:ascii="DM Sans" w:cs="DM Sans" w:eastAsia="DM Sans" w:hAnsi="DM Sans"/>
          <w:b/>
          <w:bCs/>
          <w:color w:val="14213D"/>
          <w:sz w:val="22"/>
          <w:szCs w:val="22"/>
        </w:rPr>
        <w:t xml:space="preserve">Wat het examen wel en niet toetst.</w:t>
      </w:r>
      <w:r>
        <w:rPr>
          <w:rFonts w:ascii="DM Sans" w:cs="DM Sans" w:eastAsia="DM Sans" w:hAnsi="DM Sans"/>
          <w:color w:val="14213D"/>
          <w:sz w:val="22"/>
          <w:szCs w:val="22"/>
        </w:rPr>
        <w:t xml:space="preserve"> Het examen toetst of je de begrippen uit de BoK kent en correct kunt toepassen op een omschreven situatie — niet of je een instrument zoals het verdienmodelblad uit het hoofd kunt tekenen. De instrumenten uit deze cursus zijn hulpmiddelen om de begrippen te leren toepassen; het examen zelf vraagt naar de 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10.4 De opdracht: het minimum viable architecture-dossier</w:t>
      </w:r>
    </w:p>
    <w:p>
      <w:pPr>
        <w:spacing w:after="160"/>
      </w:pPr>
      <w:r>
        <w:rPr>
          <w:rFonts w:ascii="DM Sans" w:cs="DM Sans" w:eastAsia="DM Sans" w:hAnsi="DM Sans"/>
          <w:color w:val="14213D"/>
          <w:sz w:val="22"/>
          <w:szCs w:val="22"/>
        </w:rPr>
        <w:t xml:space="preserve">De tweede helft van de dag is geen examen maar een verdediging. Bart Hoekstra — de CIO uit deel 1 — heeft Claudette gevraagd haar aanpak van het afgelopen jaar te presenteren aan een panel van drie: hijzelf, de financieel directeur, en de directeur Uitvoering. Niet om haar te beoordelen als persoon, maar om te besluiten of haar aanpak — de instrumenten, niet de incidenten — structureel wordt ingevoerd bij Meridiaan.</w:t>
      </w:r>
    </w:p>
    <w:p>
      <w:pPr>
        <w:spacing w:after="160"/>
      </w:pPr>
      <w:r>
        <w:rPr>
          <w:rFonts w:ascii="DM Sans" w:cs="DM Sans" w:eastAsia="DM Sans" w:hAnsi="DM Sans"/>
          <w:color w:val="14213D"/>
          <w:sz w:val="22"/>
          <w:szCs w:val="22"/>
        </w:rPr>
        <w:t xml:space="preserve">Dit is precies de minimum viable architecture uit deel 1: niet het volledige dossier van alles wat ze het afgelopen jaar heeft gedaan, maar de kleinste, best gekozen selectie die het besluit draagt.</w:t>
      </w:r>
    </w:p>
    <w:p>
      <w:pPr>
        <w:spacing w:after="160"/>
      </w:pPr>
      <w:r>
        <w:rPr>
          <w:rFonts w:ascii="DM Sans" w:cs="DM Sans" w:eastAsia="DM Sans" w:hAnsi="DM Sans"/>
          <w:b/>
          <w:bCs/>
          <w:color w:val="14213D"/>
          <w:sz w:val="22"/>
          <w:szCs w:val="22"/>
        </w:rPr>
        <w:t xml:space="preserve">Het dossier bevat, per observatie, drie dingen:</w:t>
      </w:r>
    </w:p>
    <w:p>
      <w:pPr>
        <w:pStyle w:val="ListParagraph"/>
        <w:numPr>
          <w:ilvl w:val="0"/>
          <w:numId w:val="3"/>
        </w:numPr>
      </w:pPr>
      <w:r>
        <w:rPr>
          <w:rFonts w:ascii="DM Sans" w:cs="DM Sans" w:eastAsia="DM Sans" w:hAnsi="DM Sans"/>
          <w:color w:val="14213D"/>
          <w:sz w:val="22"/>
          <w:szCs w:val="22"/>
        </w:rPr>
        <w:t xml:space="preserve">Wat er misging — in één zin, zoals in 10.2.</w:t>
      </w:r>
    </w:p>
    <w:p>
      <w:pPr>
        <w:pStyle w:val="ListParagraph"/>
        <w:numPr>
          <w:ilvl w:val="0"/>
          <w:numId w:val="3"/>
        </w:numPr>
      </w:pPr>
      <w:r>
        <w:rPr>
          <w:rFonts w:ascii="DM Sans" w:cs="DM Sans" w:eastAsia="DM Sans" w:hAnsi="DM Sans"/>
          <w:color w:val="14213D"/>
          <w:sz w:val="22"/>
          <w:szCs w:val="22"/>
        </w:rPr>
        <w:t xml:space="preserve">Welk instrument het oploste, met één concreet voorbeeld uit het afgelopen jaar.</w:t>
      </w:r>
    </w:p>
    <w:p>
      <w:pPr>
        <w:pStyle w:val="ListParagraph"/>
        <w:numPr>
          <w:ilvl w:val="0"/>
          <w:numId w:val="3"/>
        </w:numPr>
      </w:pPr>
      <w:r>
        <w:rPr>
          <w:rFonts w:ascii="DM Sans" w:cs="DM Sans" w:eastAsia="DM Sans" w:hAnsi="DM Sans"/>
          <w:color w:val="14213D"/>
          <w:sz w:val="22"/>
          <w:szCs w:val="22"/>
        </w:rPr>
        <w:t xml:space="preserve">Wat er structureel is veranderd — niet "ik doe het nu anders" maar "dit is nu de gewoonte."</w:t>
      </w:r>
    </w:p>
    <w:p>
      <w:pPr>
        <w:spacing w:after="80" w:before="200"/>
        <w:jc w:val="center"/>
      </w:pPr>
      <w:r>
        <w:drawing>
          <wp:inline distT="0" distB="0" distL="0" distR="0">
            <wp:extent cx="5715000" cy="3810000"/>
            <wp:effectExtent t="0" r="0" b="0" l="0"/>
            <wp:docPr id="1" name="figuur-10-2" descr="FIGUUR 10-2: de dossierstructuur — zeven observaties, elk met dezelfde driedeling, plus een korte inleiding en een korte afsluiting die de rode draad benoemt" title="Figuur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10-2</w:t>
      </w:r>
    </w:p>
    <w:p>
      <w:pPr>
        <w:spacing w:after="160"/>
      </w:pPr>
      <w:r>
        <w:rPr>
          <w:rFonts w:ascii="DM Sans" w:cs="DM Sans" w:eastAsia="DM Sans" w:hAnsi="DM Sans"/>
          <w:b/>
          <w:bCs/>
          <w:color w:val="14213D"/>
          <w:sz w:val="22"/>
          <w:szCs w:val="22"/>
        </w:rPr>
        <w:t xml:space="preserve">De drie rode draden uit deel 1 horen in de inleiding en de afsluiting</w:t>
      </w:r>
      <w:r>
        <w:rPr>
          <w:rFonts w:ascii="DM Sans" w:cs="DM Sans" w:eastAsia="DM Sans" w:hAnsi="DM Sans"/>
          <w:color w:val="14213D"/>
          <w:sz w:val="22"/>
          <w:szCs w:val="22"/>
        </w:rPr>
        <w:t xml:space="preserve">, niet verspreid door het hele dossier: titel is geen competentie; waarde is een bewering die je moet kunnen dragen; minimum viable architecture. Die drie zinnen zijn het skelet waarop de zeven observaties hangen.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10.5 Drie rollen, drie vragen</w:t>
      </w:r>
    </w:p>
    <w:p>
      <w:pPr>
        <w:spacing w:after="160"/>
      </w:pPr>
      <w:r>
        <w:rPr>
          <w:rFonts w:ascii="DM Sans" w:cs="DM Sans" w:eastAsia="DM Sans" w:hAnsi="DM Sans"/>
          <w:color w:val="14213D"/>
          <w:sz w:val="22"/>
          <w:szCs w:val="22"/>
        </w:rPr>
        <w:t xml:space="preserve">Het panel bestaat uit drie mensen met verschillende, deels overlappende belangen — en dat is de kern van de oefening. Een verdediging die goed werkt voor Bart, werkt niet automatisch voor de financieel directeur.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hij op let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Typische vraag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Bart Hoekstra, CIO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dit een herhaalbare aanpak is, niet een toevalstreffer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garandeert dat de volgende architect dit ook doet?"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Financieel directeur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de instrumenten zich terugverdienen, en welk type investering dit is (deel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heeft dit ons het afgelopen jaar concreet bespaard of voorkomen?"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Directeur Uitvoering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of dit de business vertraagt of juist versnelt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mijn team hier sneller of langzamer van?"</w:t>
            </w:r>
          </w:p>
        </w:tc>
      </w:tr>
    </w:tbl>
    <w:p>
      <w:pPr>
        <w:spacing w:after="160"/>
      </w:pPr>
    </w:p>
    <w:p>
      <w:pPr>
        <w:spacing w:after="160"/>
      </w:pPr>
      <w:r>
        <w:rPr>
          <w:rFonts w:ascii="DM Sans" w:cs="DM Sans" w:eastAsia="DM Sans" w:hAnsi="DM Sans"/>
          <w:b/>
          <w:bCs/>
          <w:color w:val="14213D"/>
          <w:sz w:val="22"/>
          <w:szCs w:val="22"/>
        </w:rPr>
        <w:t xml:space="preserve">De valkuil: één antwoord proberen te geven dat alle drie tevredenstelt.</w:t>
      </w:r>
      <w:r>
        <w:rPr>
          <w:rFonts w:ascii="DM Sans" w:cs="DM Sans" w:eastAsia="DM Sans" w:hAnsi="DM Sans"/>
          <w:color w:val="14213D"/>
          <w:sz w:val="22"/>
          <w:szCs w:val="22"/>
        </w:rPr>
        <w:t xml:space="preserve"> Dat werkt niet, en het hoeft ook niet — het is precies de stakeholderkaart uit deel 4 in actie. Drie verschillende stakeholders, drie verschillende communicatieregisters, één en dezelfde kern.</w:t>
      </w:r>
    </w:p>
    <w:p>
      <w:pPr>
        <w:spacing w:after="160"/>
      </w:pPr>
      <w:r>
        <w:rPr>
          <w:rFonts w:ascii="DM Sans" w:cs="DM Sans" w:eastAsia="DM Sans" w:hAnsi="DM Sans"/>
          <w:color w:val="14213D"/>
          <w:sz w:val="22"/>
          <w:szCs w:val="22"/>
        </w:rPr>
        <w:t xml:space="preserve">Vergelijk dit met de onderhandelruimte uit deel 5: de kern (deze aanpak werkt en moet blijven) is niet onderhandelbaar. De vorm — hoe je het aan elke rol uitlegt — is dat wel, en moet dat ook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10.6 Wat het panel niet wil horen</w:t>
      </w:r>
    </w:p>
    <w:p>
      <w:pPr>
        <w:spacing w:after="160"/>
      </w:pPr>
      <w:r>
        <w:rPr>
          <w:rFonts w:ascii="DM Sans" w:cs="DM Sans" w:eastAsia="DM Sans" w:hAnsi="DM Sans"/>
          <w:color w:val="14213D"/>
          <w:sz w:val="22"/>
          <w:szCs w:val="22"/>
        </w:rPr>
        <w:t xml:space="preserve">Drie veelgemaakte fouten in een verdediging zoals deze, stuk voor stuk terug te voeren op een eerder deel van dit niveau:</w:t>
      </w:r>
    </w:p>
    <w:p>
      <w:pPr>
        <w:spacing w:after="160"/>
      </w:pPr>
      <w:r>
        <w:rPr>
          <w:rFonts w:ascii="DM Sans" w:cs="DM Sans" w:eastAsia="DM Sans" w:hAnsi="DM Sans"/>
          <w:b/>
          <w:bCs/>
          <w:color w:val="14213D"/>
          <w:sz w:val="22"/>
          <w:szCs w:val="22"/>
        </w:rPr>
        <w:t xml:space="preserve">Een chronologisch verhaal in plaats van een driedeling per observatie.</w:t>
      </w:r>
      <w:r>
        <w:rPr>
          <w:rFonts w:ascii="DM Sans" w:cs="DM Sans" w:eastAsia="DM Sans" w:hAnsi="DM Sans"/>
          <w:color w:val="14213D"/>
          <w:sz w:val="22"/>
          <w:szCs w:val="22"/>
        </w:rPr>
        <w:t xml:space="preserve"> "Toen gebeurde er dit, en toen deed ik dat" is de volgorde van de ervaring, niet de volgorde van het luisteren — dezelfde fout als de eenentwintig pagina's uit deel 5.</w:t>
      </w:r>
    </w:p>
    <w:p>
      <w:pPr>
        <w:spacing w:after="160"/>
      </w:pPr>
      <w:r>
        <w:rPr>
          <w:rFonts w:ascii="DM Sans" w:cs="DM Sans" w:eastAsia="DM Sans" w:hAnsi="DM Sans"/>
          <w:b/>
          <w:bCs/>
          <w:color w:val="14213D"/>
          <w:sz w:val="22"/>
          <w:szCs w:val="22"/>
        </w:rPr>
        <w:t xml:space="preserve">Technische details die het besluit niet dragen.</w:t>
      </w:r>
      <w:r>
        <w:rPr>
          <w:rFonts w:ascii="DM Sans" w:cs="DM Sans" w:eastAsia="DM Sans" w:hAnsi="DM Sans"/>
          <w:color w:val="14213D"/>
          <w:sz w:val="22"/>
          <w:szCs w:val="22"/>
        </w:rPr>
        <w:t xml:space="preserve"> Als het panel niet hoeft te weten hoe het koppelvlak technisch is opgelost om het besluit te kunnen nemen, hoort het niet in de hoofdverdediging — het hoort in de bijlage, zoals in deel 5.</w:t>
      </w:r>
    </w:p>
    <w:p>
      <w:pPr>
        <w:spacing w:after="160"/>
      </w:pPr>
      <w:r>
        <w:rPr>
          <w:rFonts w:ascii="DM Sans" w:cs="DM Sans" w:eastAsia="DM Sans" w:hAnsi="DM Sans"/>
          <w:b/>
          <w:bCs/>
          <w:color w:val="14213D"/>
          <w:sz w:val="22"/>
          <w:szCs w:val="22"/>
        </w:rPr>
        <w:t xml:space="preserve">Beweringen zonder bewijs.</w:t>
      </w:r>
      <w:r>
        <w:rPr>
          <w:rFonts w:ascii="DM Sans" w:cs="DM Sans" w:eastAsia="DM Sans" w:hAnsi="DM Sans"/>
          <w:color w:val="14213D"/>
          <w:sz w:val="22"/>
          <w:szCs w:val="22"/>
        </w:rPr>
        <w:t xml:space="preserve"> "Dit heeft veel tijd bespaard" zonder cijfer is precies de kwalitatieve risicoformulering waar O3 om draaide. Elke bewering in het dossier moet een cijfer, een voorbeeld of een document hebben dat hem draagt — de derde rode draad uit deel 1, hier op de proef gesteld.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10.7 De verdediging zelf</w:t>
      </w:r>
    </w:p>
    <w:p>
      <w:pPr>
        <w:spacing w:after="160"/>
      </w:pPr>
      <w:r>
        <w:rPr>
          <w:rFonts w:ascii="DM Sans" w:cs="DM Sans" w:eastAsia="DM Sans" w:hAnsi="DM Sans"/>
          <w:color w:val="14213D"/>
          <w:sz w:val="22"/>
          <w:szCs w:val="22"/>
        </w:rPr>
        <w:t xml:space="preserve">Claudette opent niet met een terugblik op het jaar. Ze opent met de kern: </w:t>
      </w:r>
      <w:r>
        <w:rPr>
          <w:rFonts w:ascii="DM Sans" w:cs="DM Sans" w:eastAsia="DM Sans" w:hAnsi="DM Sans"/>
          <w:i/>
          <w:iCs/>
          <w:color w:val="14213D"/>
          <w:sz w:val="22"/>
          <w:szCs w:val="22"/>
        </w:rPr>
        <w:t xml:space="preserve">"Een jaar geleden kon niemand in deze kamer uitleggen waarvoor ik aan tafel zat. Vandaag laat ik zien wat er is veranderd, en waarom dat niet van mij persoonlijk afhangt."</w:t>
      </w:r>
    </w:p>
    <w:p>
      <w:pPr>
        <w:spacing w:after="160"/>
      </w:pPr>
      <w:r>
        <w:rPr>
          <w:rFonts w:ascii="DM Sans" w:cs="DM Sans" w:eastAsia="DM Sans" w:hAnsi="DM Sans"/>
          <w:color w:val="14213D"/>
          <w:sz w:val="22"/>
          <w:szCs w:val="22"/>
        </w:rPr>
        <w:t xml:space="preserve">Ze doorloopt de zeven observaties in twaalf minuten, met de driedeling uit 10.4 strak aangehouden. Bij elke observatie een cijfer of een concreet voorbeeld: de 18.000 tot 45.000 euro van het koppelvlak, de responstijd van veertig seconden tijdens de piek, het besluit dat drie jaar had liggen wachten en nu binnen een dag werd teruggevonden.</w:t>
      </w:r>
    </w:p>
    <w:p>
      <w:pPr>
        <w:spacing w:after="160"/>
      </w:pPr>
      <w:r>
        <w:rPr>
          <w:rFonts w:ascii="DM Sans" w:cs="DM Sans" w:eastAsia="DM Sans" w:hAnsi="DM Sans"/>
          <w:color w:val="14213D"/>
          <w:sz w:val="22"/>
          <w:szCs w:val="22"/>
        </w:rPr>
        <w:t xml:space="preserve">De vragen die volgen, beantwoordt ze een voor een, met het register van de vragensteller — technisch noch bestuurlijk als vaste toon, maar per vraag aangepast, zoals ze in deel 7 leerde met views en viewpoints te werken.</w:t>
      </w:r>
    </w:p>
    <w:p>
      <w:pPr>
        <w:spacing w:after="160"/>
      </w:pPr>
      <w:r>
        <w:rPr>
          <w:rFonts w:ascii="DM Sans" w:cs="DM Sans" w:eastAsia="DM Sans" w:hAnsi="DM Sans"/>
          <w:color w:val="14213D"/>
          <w:sz w:val="22"/>
          <w:szCs w:val="22"/>
        </w:rPr>
        <w:t xml:space="preserve">Aan het eind stelt Bart de vraag waarmee de hele cursus begon, nu in omgekeerde vorm: </w:t>
      </w:r>
      <w:r>
        <w:rPr>
          <w:rFonts w:ascii="DM Sans" w:cs="DM Sans" w:eastAsia="DM Sans" w:hAnsi="DM Sans"/>
          <w:i/>
          <w:iCs/>
          <w:color w:val="14213D"/>
          <w:sz w:val="22"/>
          <w:szCs w:val="22"/>
        </w:rPr>
        <w:t xml:space="preserve">"Als ik nu aan iemand in dit bedrijf zou vragen waarvoor jij aan tafel zit, wat zouden ze zeggen?"</w:t>
      </w:r>
    </w:p>
    <w:p>
      <w:pPr>
        <w:spacing w:after="160"/>
      </w:pPr>
      <w:r>
        <w:rPr>
          <w:rFonts w:ascii="DM Sans" w:cs="DM Sans" w:eastAsia="DM Sans" w:hAnsi="DM Sans"/>
          <w:color w:val="14213D"/>
          <w:sz w:val="22"/>
          <w:szCs w:val="22"/>
        </w:rPr>
        <w:t xml:space="preserve">Ze antwoordt met de ene zin uit deel 1, ongewijzigd sinds ze hem voor het eerst schreef: </w:t>
      </w:r>
      <w:r>
        <w:rPr>
          <w:rFonts w:ascii="DM Sans" w:cs="DM Sans" w:eastAsia="DM Sans" w:hAnsi="DM Sans"/>
          <w:i/>
          <w:iCs/>
          <w:color w:val="14213D"/>
          <w:sz w:val="22"/>
          <w:szCs w:val="22"/>
        </w:rPr>
        <w:t xml:space="preserve">ik zorg dat Meridiaan zijn technologiegeld uitgeeft aan de dingen die de deelnemer merkt, en dat we over vijf jaar nog kunnen uitleggen waarom we die keuzes maakten.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10.8 Niveau 1 afgesloten</w:t>
      </w:r>
    </w:p>
    <w:p>
      <w:pPr>
        <w:spacing w:after="160"/>
      </w:pPr>
      <w:r>
        <w:rPr>
          <w:rFonts w:ascii="DM Sans" w:cs="DM Sans" w:eastAsia="DM Sans" w:hAnsi="DM Sans"/>
          <w:color w:val="14213D"/>
          <w:sz w:val="22"/>
          <w:szCs w:val="22"/>
        </w:rPr>
        <w:t xml:space="preserve">Met de verdediging geslaagd — niet perfect, maar navolgbaar en gedekt door bewijs — is niveau 1 van deze cursus afgerond. Zeven observaties gesloten, negen instrumenten geleerd, vijf kernpijlers doorlopen.</w:t>
      </w:r>
    </w:p>
    <w:p>
      <w:pPr>
        <w:spacing w:after="160"/>
      </w:pPr>
      <w:r>
        <w:rPr>
          <w:rFonts w:ascii="DM Sans" w:cs="DM Sans" w:eastAsia="DM Sans" w:hAnsi="DM Sans"/>
          <w:color w:val="14213D"/>
          <w:sz w:val="22"/>
          <w:szCs w:val="22"/>
        </w:rPr>
        <w:t xml:space="preserve">Wat niet is afgesloten, en dat is met opzet: de spanning tussen "bouw dingen, bestuur geen dingen" en het architectuurgremium van een gereguleerde sector (deel 1 en deel 9), en de vraag hoe dit alles schaalt van één architect naar een architectuurpraktijk. Dat is precies waar niveau 2 begint — met Claudette's eerste eigen, formele opdracht binnen een transformatieprogramma, waar ze voor het eerst haar diensten, haar afspraken en haar waarde expliciet moet maken, niet meer alleen voor zichzelf maar voor een heel team dat op haar aanpak gaat vertrouwen.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10.9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Minimum viable architecture-dossier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kleinste, best gekozen selectie van bewijs die het besluit draagt — niet het volledige archief</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Driedeling per observatie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misging, welk instrument het oploste met een voorbeeld, wat structureel is veranderd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Eén kern, meerdere registers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dezelfde boodschap, per stakeholder in een andere vorm gebracht — nooit één antwoord voor iedereen tegelijk</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Niveau 2 begint met deel 11 — Het engagement model.</w:t>
      </w:r>
      <w:r>
        <w:rPr>
          <w:rFonts w:ascii="DM Sans" w:cs="DM Sans" w:eastAsia="DM Sans" w:hAnsi="DM Sans"/>
          <w:color w:val="14213D"/>
          <w:sz w:val="22"/>
          <w:szCs w:val="22"/>
        </w:rPr>
        <w:t xml:space="preserve"> Claudette krijgt haar eerste formele opdracht binnen een transformatieprogramma.</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0f15bcff18c641d5808177d351ed8692722a8e.png"/><Relationship Id="rId10" Type="http://schemas.openxmlformats.org/officeDocument/2006/relationships/image" Target="media/da91a52b7eca1db8fdbccaceba6609cd6cbca92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2026-08-17T16:47:11.974Z</dcterms:created>
  <dcterms:modified xsi:type="dcterms:W3CDTF">2026-08-17T16:47:11.974Z</dcterms:modified>
</cp:coreProperties>
</file>

<file path=docProps/custom.xml><?xml version="1.0" encoding="utf-8"?>
<Properties xmlns="http://schemas.openxmlformats.org/officeDocument/2006/custom-properties" xmlns:vt="http://schemas.openxmlformats.org/officeDocument/2006/docPropsVTypes"/>
</file>