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12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12 — Digital Customer</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12.1 Waar dit deel over gaat</w:t>
      </w:r>
    </w:p>
    <w:p>
      <w:pPr>
        <w:spacing w:after="160"/>
      </w:pPr>
      <w:r>
        <w:rPr>
          <w:rFonts w:ascii="DM Sans" w:cs="DM Sans" w:eastAsia="DM Sans" w:hAnsi="DM Sans"/>
          <w:color w:val="14213D"/>
          <w:sz w:val="22"/>
          <w:szCs w:val="22"/>
        </w:rPr>
        <w:t xml:space="preserve">Het opdrachtblad uit deel 11 regelt wie Claudette is binnen het programma. Dit deel gaat over voor wie het programma eigenlijk bestaat — en wat er gebeurt als vijf teams, elk met hun eigen opdracht, het overzicht over die vraag verliezen.</w:t>
      </w:r>
    </w:p>
    <w:p>
      <w:pPr>
        <w:spacing w:after="160"/>
      </w:pPr>
      <w:r>
        <w:rPr>
          <w:rFonts w:ascii="DM Sans" w:cs="DM Sans" w:eastAsia="DM Sans" w:hAnsi="DM Sans"/>
          <w:color w:val="14213D"/>
          <w:sz w:val="22"/>
          <w:szCs w:val="22"/>
        </w:rPr>
        <w:t xml:space="preserve">De BoK plaatst dit onder Digital Customer, met vier onderdelen: ecosysteem, engagement, klantreis (journey), en innoveren. Voor Mutatieplatform is dit niet een marketingvraagstuk maar een architectuurvraagstuk: de deelnemer ervaart het programma als één ding, ook al bouwen vijf teams er apart aan.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het ecosysteem rond een klant in kaart brengen, inclusief partijen die geen directe klantrelatie hebben maar wel invloed uitoefenen;</w:t>
      </w:r>
    </w:p>
    <w:p>
      <w:pPr>
        <w:pStyle w:val="ListParagraph"/>
        <w:numPr>
          <w:ilvl w:val="0"/>
          <w:numId w:val="2"/>
        </w:numPr>
      </w:pPr>
      <w:r>
        <w:rPr>
          <w:rFonts w:ascii="DM Sans" w:cs="DM Sans" w:eastAsia="DM Sans" w:hAnsi="DM Sans"/>
          <w:color w:val="14213D"/>
          <w:sz w:val="22"/>
          <w:szCs w:val="22"/>
        </w:rPr>
        <w:t xml:space="preserve">een klantreis opstellen die dwars door teamgrenzen loopt, en breukpunten daarin identificeren;</w:t>
      </w:r>
    </w:p>
    <w:p>
      <w:pPr>
        <w:pStyle w:val="ListParagraph"/>
        <w:numPr>
          <w:ilvl w:val="0"/>
          <w:numId w:val="2"/>
        </w:numPr>
      </w:pPr>
      <w:r>
        <w:rPr>
          <w:rFonts w:ascii="DM Sans" w:cs="DM Sans" w:eastAsia="DM Sans" w:hAnsi="DM Sans"/>
          <w:color w:val="14213D"/>
          <w:sz w:val="22"/>
          <w:szCs w:val="22"/>
        </w:rPr>
        <w:t xml:space="preserve">het verschil toepassen tussen innoveren binnen bestaande kaders en innoveren dat de kaders zelf verandert.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12.2 Twee schermen, twee verhalen</w:t>
      </w:r>
    </w:p>
    <w:p>
      <w:pPr>
        <w:spacing w:after="160"/>
      </w:pPr>
      <w:r>
        <w:rPr>
          <w:rFonts w:ascii="DM Sans" w:cs="DM Sans" w:eastAsia="DM Sans" w:hAnsi="DM Sans"/>
          <w:color w:val="14213D"/>
          <w:sz w:val="22"/>
          <w:szCs w:val="22"/>
        </w:rPr>
        <w:t xml:space="preserve">Een deelnemer belt de klantenservice, gefrustreerd. Ze had een uur eerder op het nieuwe deelnemersportaal (gebouwd door Team Portaal) haar verwachte pensioen bekeken: een bepaald bedrag. Ze klikte door naar de nieuwe uitlegpagina (gebouwd door Team Communicatie, drie sprints later opgeleverd) en zag een ander bedrag voor hetzelfde scenario — een verschil van enkele honderden euro's, zonder toelichting waarom.</w:t>
      </w:r>
    </w:p>
    <w:p>
      <w:pPr>
        <w:spacing w:after="160"/>
      </w:pPr>
      <w:r>
        <w:rPr>
          <w:rFonts w:ascii="DM Sans" w:cs="DM Sans" w:eastAsia="DM Sans" w:hAnsi="DM Sans"/>
          <w:color w:val="14213D"/>
          <w:sz w:val="22"/>
          <w:szCs w:val="22"/>
        </w:rPr>
        <w:t xml:space="preserve">Beide teams hebben correct gebouwd volgens hun eigen requirement. Team Portaal rekent met de rekendatum van vandaag; Team Communicatie gebruikt, om prestatieredenen, een rekendatum die eens per nacht wordt ververst. Niemand had dit verschil ooit als risico benoemd, omdat de twee teams elkaars werk niet routinematig zien.</w:t>
      </w:r>
    </w:p>
    <w:p>
      <w:pPr>
        <w:spacing w:after="80" w:before="200"/>
        <w:jc w:val="center"/>
      </w:pPr>
      <w:r>
        <w:drawing>
          <wp:inline distT="0" distB="0" distL="0" distR="0">
            <wp:extent cx="5715000" cy="3810000"/>
            <wp:effectExtent t="0" r="0" b="0" l="0"/>
            <wp:docPr id="1" name="figuur-12-1" descr="FIGUUR 12-1: de deelnemersreis met een breukpunt gemarkeerd op het punt waar Team Portaal en Team Communicatie elkaar raken zonder het te weten" title="Figuur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12-1</w:t>
      </w:r>
    </w:p>
    <w:p>
      <w:pPr>
        <w:spacing w:after="160"/>
      </w:pPr>
      <w:r>
        <w:rPr>
          <w:rFonts w:ascii="DM Sans" w:cs="DM Sans" w:eastAsia="DM Sans" w:hAnsi="DM Sans"/>
          <w:color w:val="14213D"/>
          <w:sz w:val="22"/>
          <w:szCs w:val="22"/>
        </w:rPr>
        <w:t xml:space="preserve">Dit is het soort probleem dat ontstaat zodra een programma groter wordt dan één team kan overzien — niet door onzorgvuldigheid, maar doordat niemand de rol heeft om over de teamgrenzen heen naar de klantervaring te kijken.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12.3 Het ecosysteem: meer dan de directe klant</w:t>
      </w:r>
    </w:p>
    <w:p>
      <w:pPr>
        <w:spacing w:after="160"/>
      </w:pPr>
      <w:r>
        <w:rPr>
          <w:rFonts w:ascii="DM Sans" w:cs="DM Sans" w:eastAsia="DM Sans" w:hAnsi="DM Sans"/>
          <w:color w:val="14213D"/>
          <w:sz w:val="22"/>
          <w:szCs w:val="22"/>
        </w:rPr>
        <w:t xml:space="preserve">De eerste competentie plaatst de deelnemer in een groter geheel. Rond elke klant staat een ecosysteem van partijen die niet zelf de klant zijn, maar wel invloed hebben op wat de klant ervaart of nodig heeft.</w:t>
      </w:r>
    </w:p>
    <w:p>
      <w:pPr>
        <w:spacing w:after="80" w:before="200"/>
        <w:jc w:val="center"/>
      </w:pPr>
      <w:r>
        <w:drawing>
          <wp:inline distT="0" distB="0" distL="0" distR="0">
            <wp:extent cx="5715000" cy="3810000"/>
            <wp:effectExtent t="0" r="0" b="0" l="0"/>
            <wp:docPr id="1" name="figuur-12-2" descr="FIGUUR 12-2: het ecosysteem rond de deelnemer — werkgever, adviseur, DNB/AFM, verantwoordingsorgaan, familie/nabestaanden — elk met hun eigen raakvlak" title="Figuur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12-2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Partij</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Raakvlak met de deelnemer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Werkgever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meldt mutaties, is vaak de eerste die de deelnemer over pensioen informeert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Financieel adviseur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helpt sommige deelnemers de simulatie te interpreteren — een doelgroep die het portaal zelf nooit ziet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Toezichthouder (DNB/AFM)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eisen aan de informatie die de deelnemer krijgt, ongeacht of de deelnemer daar weet van heeft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Verantwoordingsorgaan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vertegenwoordigt deelnemers collectief, zonder dat individuele deelnemers dit kanaal kennen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Nabestaanden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ervaren het systeem pas op het moeilijkste moment, met vaak geen eerdere ervaring ermee</w:t>
            </w:r>
          </w:p>
        </w:tc>
      </w:tr>
    </w:tbl>
    <w:p>
      <w:pPr>
        <w:spacing w:after="160"/>
      </w:pPr>
    </w:p>
    <w:p>
      <w:pPr>
        <w:spacing w:after="160"/>
      </w:pPr>
      <w:r>
        <w:rPr>
          <w:rFonts w:ascii="DM Sans" w:cs="DM Sans" w:eastAsia="DM Sans" w:hAnsi="DM Sans"/>
          <w:color w:val="14213D"/>
          <w:sz w:val="22"/>
          <w:szCs w:val="22"/>
        </w:rPr>
        <w:t xml:space="preserve">Het inzicht dat dit deel oplevert: een architectuurbeslissing die alleen naar "de deelnemer die inlogt" kijkt, mist stelselmatig de partijen die de ervaring mede bepalen zonder zelf de gebruiker te zijn. De financieel adviseur in de tabel is een goed voorbeeld — niemand in het programma had deze partij als stakeholder benoemd, ondanks dat een aanzienlijk deel van de deelnemers de simulatie via een adviseur raadpleegt.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Verband met deel 4 (niveau 1).</w:t>
      </w:r>
      <w:r>
        <w:rPr>
          <w:rFonts w:ascii="DM Sans" w:cs="DM Sans" w:eastAsia="DM Sans" w:hAnsi="DM Sans"/>
          <w:i/>
          <w:iCs/>
          <w:color w:val="14213D"/>
          <w:sz w:val="22"/>
          <w:szCs w:val="22"/>
        </w:rPr>
        <w:t xml:space="preserve"> Dit is dezelfde stakeholderkaart, nu toegepast op het niveau van het hele klantecosysteem in plaats van op één architectuurbesluit. De vraag "wie heeft invloed op of belang bij dit besluit" wordt hier "wie heeft invloed op of belang bij de klantervaring."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12.4 De klantreis over teamgrenzen heen</w:t>
      </w:r>
    </w:p>
    <w:p>
      <w:pPr>
        <w:spacing w:after="160"/>
      </w:pPr>
      <w:r>
        <w:rPr>
          <w:rFonts w:ascii="DM Sans" w:cs="DM Sans" w:eastAsia="DM Sans" w:hAnsi="DM Sans"/>
          <w:color w:val="14213D"/>
          <w:sz w:val="22"/>
          <w:szCs w:val="22"/>
        </w:rPr>
        <w:t xml:space="preserve">De tweede competentie — engagement en journey samen — vraagt om de klantreis letterlijk te tekenen, dwars door de organisatiestructuur die haar bouwt.</w:t>
      </w:r>
    </w:p>
    <w:p>
      <w:pPr>
        <w:spacing w:after="80" w:before="200"/>
        <w:jc w:val="center"/>
      </w:pPr>
      <w:r>
        <w:drawing>
          <wp:inline distT="0" distB="0" distL="0" distR="0">
            <wp:extent cx="5715000" cy="3810000"/>
            <wp:effectExtent t="0" r="0" b="0" l="0"/>
            <wp:docPr id="1" name="figuur-12-3" descr="FIGUUR 12-3: de deelnemersreis als tijdlijn — van eerste bewustwording tot pensioeningang — met de vijf teams als onderliggende lagen, en het breukpunt uit 12.2 gemarkeerd waar twee lagen elkaar raken" title="Figuur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12-3</w:t>
      </w:r>
    </w:p>
    <w:p>
      <w:pPr>
        <w:spacing w:after="160"/>
      </w:pPr>
      <w:r>
        <w:rPr>
          <w:rFonts w:ascii="DM Sans" w:cs="DM Sans" w:eastAsia="DM Sans" w:hAnsi="DM Sans"/>
          <w:b/>
          <w:bCs/>
          <w:color w:val="14213D"/>
          <w:sz w:val="22"/>
          <w:szCs w:val="22"/>
        </w:rPr>
        <w:t xml:space="preserve">Het instrument: de klantreiskaart.</w:t>
      </w:r>
      <w:r>
        <w:rPr>
          <w:rFonts w:ascii="DM Sans" w:cs="DM Sans" w:eastAsia="DM Sans" w:hAnsi="DM Sans"/>
          <w:color w:val="14213D"/>
          <w:sz w:val="22"/>
          <w:szCs w:val="22"/>
        </w:rPr>
        <w:t xml:space="preserve"> Een horizontale tijdlijn van de klantervaring (bewustwording, eerste inlog, simulatie raadplegen, keuze maken, uitkering ontvangen), met daaronder — niet ernaast — welk team welk stuk bouwt. Elke plek waar de tijdlijn van boven naar onder een teamgrens kruist, is een potentieel breukpunt.</w:t>
      </w:r>
    </w:p>
    <w:p>
      <w:pPr>
        <w:spacing w:after="160"/>
      </w:pPr>
      <w:r>
        <w:rPr>
          <w:rFonts w:ascii="DM Sans" w:cs="DM Sans" w:eastAsia="DM Sans" w:hAnsi="DM Sans"/>
          <w:color w:val="14213D"/>
          <w:sz w:val="22"/>
          <w:szCs w:val="22"/>
        </w:rPr>
        <w:t xml:space="preserve">Bij Mutatieplatform levert dit vijf breukpunten op, waarvan er twee al zichtbaar zijn geworden als incident (waaronder 12.2) en drie nog niet. De waarde van de kaart zit niet in het vaststellen van wat al fout ging, maar in het vinden van de drie die nog niet zijn opgetreden.</w:t>
      </w:r>
    </w:p>
    <w:p>
      <w:pPr>
        <w:spacing w:after="160"/>
      </w:pPr>
      <w:r>
        <w:rPr>
          <w:rFonts w:ascii="DM Sans" w:cs="DM Sans" w:eastAsia="DM Sans" w:hAnsi="DM Sans"/>
          <w:b/>
          <w:bCs/>
          <w:color w:val="14213D"/>
          <w:sz w:val="22"/>
          <w:szCs w:val="22"/>
        </w:rPr>
        <w:t xml:space="preserve">Wat je bij elk breukpunt vastlegt:</w:t>
      </w:r>
      <w:r>
        <w:rPr>
          <w:rFonts w:ascii="DM Sans" w:cs="DM Sans" w:eastAsia="DM Sans" w:hAnsi="DM Sans"/>
          <w:color w:val="14213D"/>
          <w:sz w:val="22"/>
          <w:szCs w:val="22"/>
        </w:rPr>
        <w:t xml:space="preserve"> niet een technische specificatie, maar een simpele vraag met eigenaar: </w:t>
      </w:r>
      <w:r>
        <w:rPr>
          <w:rFonts w:ascii="DM Sans" w:cs="DM Sans" w:eastAsia="DM Sans" w:hAnsi="DM Sans"/>
          <w:i/>
          <w:iCs/>
          <w:color w:val="14213D"/>
          <w:sz w:val="22"/>
          <w:szCs w:val="22"/>
        </w:rPr>
        <w:t xml:space="preserve">wie zorgt ervoor dat deze overgang consistent aanvoelt, en hoe wordt dat getoetst?</w:t>
      </w:r>
      <w:r>
        <w:rPr>
          <w:rFonts w:ascii="DM Sans" w:cs="DM Sans" w:eastAsia="DM Sans" w:hAnsi="DM Sans"/>
          <w:color w:val="14213D"/>
          <w:sz w:val="22"/>
          <w:szCs w:val="22"/>
        </w:rPr>
        <w:t xml:space="preserve"> Voor het rekendatum-probleem uit 12.2: geen van beide teams "fout", maar niemand had de vraag gesteld wie verantwoordelijk is voor consistentie tussen schermen die verschillende teams bouwen.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12.5 Innoveren binnen en buiten de kaders</w:t>
      </w:r>
    </w:p>
    <w:p>
      <w:pPr>
        <w:spacing w:after="160"/>
      </w:pPr>
      <w:r>
        <w:rPr>
          <w:rFonts w:ascii="DM Sans" w:cs="DM Sans" w:eastAsia="DM Sans" w:hAnsi="DM Sans"/>
          <w:color w:val="14213D"/>
          <w:sz w:val="22"/>
          <w:szCs w:val="22"/>
        </w:rPr>
        <w:t xml:space="preserve">De laatste competentie in dit deel behandelt een spanning die in een programma van vijf teams onvermijdelijk opduikt: teams willen vernieuwen, en niet elke vernieuwing hoort op hetzelfde niveau te worden besloten.</w:t>
      </w:r>
    </w:p>
    <w:p>
      <w:pPr>
        <w:spacing w:after="80" w:before="200"/>
        <w:jc w:val="center"/>
      </w:pPr>
      <w:r>
        <w:drawing>
          <wp:inline distT="0" distB="0" distL="0" distR="0">
            <wp:extent cx="5715000" cy="3810000"/>
            <wp:effectExtent t="0" r="0" b="0" l="0"/>
            <wp:docPr id="1" name="figuur-12-4" descr="FIGUUR 12-4: twee soorten innovatie naast elkaar — binnen kaders (een team verbetert zijn eigen dienst) en buiten kaders (een team stelt een nieuwe klantervaring voor die de hele reis raakt)" title="Figuur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12-4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Binnen kaders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Buiten kaders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Voorbeeld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Team Portaal verbetert de laadtijd van de simulatie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team stelt voor de hele intake anders in te richten, met gevolgen voor alle vijf teams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Wie beslist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team zelf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programma als geheel, met de klantreiskaart als gedeeld beeld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Risico bij verwarring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 dit hoort bij het team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team verandert de klantreis zonder dat de andere vier het weten, en het volgende breukpunt ontstaat opnieuw</w:t>
            </w:r>
          </w:p>
        </w:tc>
      </w:tr>
    </w:tbl>
    <w:p>
      <w:pPr>
        <w:spacing w:after="160"/>
      </w:pPr>
    </w:p>
    <w:p>
      <w:pPr>
        <w:spacing w:after="160"/>
      </w:pPr>
      <w:r>
        <w:rPr>
          <w:rFonts w:ascii="DM Sans" w:cs="DM Sans" w:eastAsia="DM Sans" w:hAnsi="DM Sans"/>
          <w:color w:val="14213D"/>
          <w:sz w:val="22"/>
          <w:szCs w:val="22"/>
        </w:rPr>
        <w:t xml:space="preserve">Dit is dezelfde kaders-versus-ontwerp-logica uit deel 9 (niveau 1), nu toegepast op innovatie in plaats van op governance: een team dat binnen zijn eigen dienst innoveert, hoeft niemand te vragen. Een team dat de klantreis zelf verandert, verlaat zijn eigen kader en betreedt het gebied waar de klantreiskaart als gedeeld instrument nodig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12.6 Terug naar het breukpunt</w:t>
      </w:r>
    </w:p>
    <w:p>
      <w:pPr>
        <w:spacing w:after="160"/>
      </w:pPr>
      <w:r>
        <w:rPr>
          <w:rFonts w:ascii="DM Sans" w:cs="DM Sans" w:eastAsia="DM Sans" w:hAnsi="DM Sans"/>
          <w:color w:val="14213D"/>
          <w:sz w:val="22"/>
          <w:szCs w:val="22"/>
        </w:rPr>
        <w:t xml:space="preserve">Claudette gebruikt de klantreiskaart om het rekendatum-probleem op te lossen, en om de drie nog niet opgetreden breukpunten proactief te agenderen bij de vijf teamleads. Ze stelt geen nieuwe governancelaag voor — dat zou tegen de "bouw dingen, bestuur geen dingen"-tenet ingaan — maar een lichte, terugkerende afspraak: elke vier weken een half uur waarin de klantreiskaart gezamenlijk wordt bijgewerkt en breukpunten worden besproken.</w:t>
      </w:r>
    </w:p>
    <w:p>
      <w:pPr>
        <w:spacing w:after="160"/>
      </w:pPr>
      <w:r>
        <w:rPr>
          <w:rFonts w:ascii="DM Sans" w:cs="DM Sans" w:eastAsia="DM Sans" w:hAnsi="DM Sans"/>
          <w:color w:val="14213D"/>
          <w:sz w:val="22"/>
          <w:szCs w:val="22"/>
        </w:rPr>
        <w:t xml:space="preserve">De programmadirecteur, inmiddels bekend uit deel 11, herkent dit als precies het soort dienst dat in het opdrachtblad past: geen bouwwerk, geen goedkeuringsproces, maar een terugkerende, korte, waardevolle afspraak — de derde dienst ("technische escalatie") die in deel 11 nog apart moest worden besproken met de teamleads, krijgt hier een concrete, lichte invulling.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Ecosysteem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partijen rond de klant die geen directe klantrelatie hebben maar wel invloed uitoefenen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Klantreiskaart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de klantervaring als tijdlijn, met de bouwende teams eronder gelaagd, breukpunten op de kruisingen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Breukpunt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plek waar de klantreis een teamgrens kruist zonder dat consistentie is geborgd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Innoveren binnen versus buiten kaders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team verbetert zijn eigen dienst (binnen) versus een team verandert de gedeelde klantreis (buiten)</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13 — Digital Business. Een team wil een functie bouwen die niet op de bestaande capability-kaart van Meridiaan past. Is dat strategisch, of een afleiding?</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8b419dc2cb7088c48582bf0bdbeb1bf9a5d5ad.png"/><Relationship Id="rId10" Type="http://schemas.openxmlformats.org/officeDocument/2006/relationships/image" Target="media/eee19590193a9f1805fa3ed5f7bba50b490cf261.png"/><Relationship Id="rId11" Type="http://schemas.openxmlformats.org/officeDocument/2006/relationships/image" Target="media/a1e6377252355195e791527f87bd31ff2cfc96b3.png"/><Relationship Id="rId12" Type="http://schemas.openxmlformats.org/officeDocument/2006/relationships/image" Target="media/ca36fcb9e7b200181b098ce74baf9c6fa2d9577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2026-08-17T16:47:12.513Z</dcterms:created>
  <dcterms:modified xsi:type="dcterms:W3CDTF">2026-08-17T16:47:12.513Z</dcterms:modified>
</cp:coreProperties>
</file>

<file path=docProps/custom.xml><?xml version="1.0" encoding="utf-8"?>
<Properties xmlns="http://schemas.openxmlformats.org/officeDocument/2006/custom-properties" xmlns:vt="http://schemas.openxmlformats.org/officeDocument/2006/docPropsVTypes"/>
</file>