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DM Sans" w:cs="DM Sans" w:eastAsia="DM Sans" w:hAnsi="DM Sans"/>
          <w:b/>
          <w:bCs/>
          <w:color w:val="9A5F0D"/>
          <w:spacing w:val="40"/>
          <w:sz w:val="24"/>
          <w:szCs w:val="24"/>
        </w:rPr>
        <w:t xml:space="preserve">DUCTUS</w:t>
      </w:r>
    </w:p>
    <w:p>
      <w:pPr>
        <w:spacing w:before="4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4213D"/>
          <w:sz w:val="64"/>
          <w:szCs w:val="64"/>
        </w:rPr>
        <w:t xml:space="preserve">Deel 14 — Docentenhandleiding</w:t>
      </w:r>
    </w:p>
    <w:p>
      <w:pPr>
        <w:spacing w:after="800" w:before="200"/>
        <w:jc w:val="center"/>
      </w:pPr>
      <w:r>
        <w:rPr>
          <w:rFonts w:ascii="DM Sans" w:cs="DM Sans" w:eastAsia="DM Sans" w:hAnsi="DM Sans"/>
          <w:color w:val="55606F"/>
          <w:sz w:val="26"/>
          <w:szCs w:val="26"/>
        </w:rPr>
        <w:t xml:space="preserve">Niveau 2 · BTABoK</w:t>
      </w:r>
    </w:p>
    <w:p>
      <w:r>
        <w:br w:type="page"/>
      </w:r>
    </w:p>
    <w:p>
      <w:pPr>
        <w:pStyle w:val="Heading1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14 — Digital Employee en Digital Operations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Niveau 2 — Engagement, waarde en specialisatie | Docentenhandleiding</w:t>
      </w:r>
    </w:p>
    <w:p>
      <w:pPr>
        <w:spacing w:after="200"/>
        <w:jc w:val="center"/>
      </w:pPr>
      <w:r>
        <w:rPr>
          <w:rFonts w:ascii="DM Sans" w:cs="DM Sans" w:eastAsia="DM Sans" w:hAnsi="DM Sans"/>
          <w:i/>
          <w:iCs/>
          <w:color w:val="55606F"/>
          <w:sz w:val="22"/>
          <w:szCs w:val="22"/>
        </w:rPr>
        <w:t xml:space="preserve">BTABoK-cursus, Ductus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1. Wat dit deel moet doen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Hoofddoel: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deelnemers moeten wrijving tussen teams leren lezen als een gevolg van niet-uitgelijnde maatstaven en ritmes, niet als een persoonlijkheids- of samenwerkingsprobleem — en de metriektoets als reflex meenemen bij elk dashboard dat ze tegenkomen.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Twee bouwstukken in één dagdeel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— kondig dat aan het begin aan zodat de zaal niet verwacht dat dit deel dieper op elk van de twee ingaat dan de tijd toelaat.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2. Tijdsindeling — één dagdeel (4 uur)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Tijd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Onderdeel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Vorm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0:00 – 0:15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Vijf teams, vijf ritmes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verhaal + slides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0:15 – 0:30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1 — ritmes naast elkaar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individueel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0:30 – 0:50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Wat je meet is wat je krijgt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0:50 – 1:10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2 — niet-uitgelijnde maatstaven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tweetallen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1:10 – 1:25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Nabespreking opdracht 2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1:25 – 1:40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Pauze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1:40 – 1:55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Benutting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1:55 – 2:15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Twee soorten snelheid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2:15 – 2:30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3 — welk type snelheid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individueel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2:30 – 2:45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Pauze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2:45 – 3:05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Meetbaarheid, de metriektoets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3:05 – 3:30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4 — de metriektoets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individueel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3:30 – 3:50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Nabespreking opdracht 4 — </w:t>
            </w:r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het scharnier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3:50 – 4:10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Wat dit deel heeft opgeleverd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4:10 – 4:30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Vooruitblik deel 15 (twee dagdelen)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</w:tbl>
    <w:p>
      <w:pPr>
        <w:spacing w:after="16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 Per onderdeel: aanpak en valkuilen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3.1 Wat je meet is wat je krijgt (0:30 – 1:25)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Zorg dat de zaal het onderscheid ziet tussen verwijt en verklaring.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Een deel van de deelnemers wil bij dit onderwerp toch een schuldige aanwijzen ("dat team werkt gewoon te traag"). Herinner aan deel 4 (niveau 1, cultuur lezen): kijk naar wat er gebeurt, niet naar wat mensen ervan vinden — en wat er gebeurt, is verklaarbaar uit de maatstaven, niet uit karakter.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3.2 Meetbaarheid en opdracht 4 (2:45 – 3:50) — het scharnier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Dit is de krachtigste oefening van het dagdeel.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Laat deelnemers een echt dashboard meenemen als dat mogelijk is (screenshot, uitdraai). Verwacht dat een aanzienlijk deel van de metrieken de toets niet doorstaat.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Bij de nabespreking: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vraag niet alleen wat er geschrapt wordt, maar ook: wie heeft dit dashboard ooit gevraagd, en waarom bestaat het nog? Vaak blijkt een dashboard te zijn ontstaan uit een eenmalig verzoek dat nooit is herzien — hetzelfde patroon als het ontbrekende exitcriterium uit het opdrachtblad (deel 11) en het besluitenlogboek (deel 7).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 Beoordeling en dossiervorming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Wat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Waar bewaard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Waarvoor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Metriektoets-resultaat (opdracht 4)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deelnemersmap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direct toepasbaar; referentie voor deel 16 (waardemethoden)</w:t>
            </w:r>
          </w:p>
        </w:tc>
      </w:tr>
    </w:tbl>
    <w:p>
      <w:pPr>
        <w:spacing w:after="16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5. Benodigdheden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Vraag deelnemers vooraf een eigen dashboard of rapportage mee te nemen voor opdracht 4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6. Vooruitblik voor de docent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15 is het eerste tweevoudige dagdeel in deze cursus — Value model I, waarin objectives, waardestromen, batenrealisatie en waardemethoden worden behandeld en de Architect Value-benadering volledig wordt uitgewerkt. Reserveer een volledige dag of twee losse dagdelen, en bereid je voor door de reader van deel 15 door te nemen; het bouwt rechtstreeks voort op het waarderingsblad uit deel 3 (niveau 1), nu opgeschaald naar het niveau van het hele programma.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55606F"/>
        <w:sz w:val="16"/>
        <w:szCs w:val="16"/>
      </w:rPr>
      <w:t xml:space="preserve">Pagina </w:t>
    </w:r>
    <w:r>
      <w:rPr>
        <w:rFonts w:ascii="DM Sans" w:cs="DM Sans" w:eastAsia="DM Sans" w:hAnsi="DM Sans"/>
        <w:color w:val="55606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color w:val="55606F"/>
        <w:sz w:val="16"/>
        <w:szCs w:val="16"/>
      </w:rPr>
      <w:t xml:space="preserve">Ductus — BTABoK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421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A13B" w:sz="8" w:space="6"/>
      </w:pBdr>
      <w:spacing w:after="240" w:before="480"/>
      <w:outlineLvl w:val="0"/>
    </w:pPr>
    <w:rPr>
      <w:rFonts w:ascii="Cormorant Garamond" w:cs="Cormorant Garamond" w:eastAsia="Cormorant Garamond" w:hAnsi="Cormorant Garamond"/>
      <w:b/>
      <w:bCs/>
      <w:color w:val="14213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ormorant Garamond" w:cs="Cormorant Garamond" w:eastAsia="Cormorant Garamond" w:hAnsi="Cormorant Garamond"/>
      <w:b/>
      <w:bCs/>
      <w:color w:val="1B4A8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DM Sans" w:cs="DM Sans" w:eastAsia="DM Sans" w:hAnsi="DM Sans"/>
      <w:b/>
      <w:bCs/>
      <w:color w:val="1421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2026-08-17T16:47:13.067Z</dcterms:created>
  <dcterms:modified xsi:type="dcterms:W3CDTF">2026-08-17T16:47:13.067Z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