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16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16 — Value model II</w:t>
      </w:r>
    </w:p>
    <w:p>
      <w:pPr>
        <w:spacing w:after="160"/>
      </w:pPr>
      <w:r>
        <w:rPr>
          <w:rFonts w:ascii="DM Sans" w:cs="DM Sans" w:eastAsia="DM Sans" w:hAnsi="DM Sans"/>
          <w:b/>
          <w:bCs/>
          <w:color w:val="14213D"/>
          <w:sz w:val="22"/>
          <w:szCs w:val="22"/>
        </w:rPr>
        <w:t xml:space="preserve">Niveau 2 — Engagement, waarde en specialisatie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De schuldmetafoor toepassen</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Neem een bekend voorbeeld van technische schuld uit je eigen werk. Vul in: wat was de hoofdsom (wat had het destijds moeten kosten om het meteen goed te doen), wat is de rente (wat kost het per periode dat de schuld openstaat), en wat zou de aflossing zijn (wat kost het nu om het alsnog goed te doen)?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De investeringsportefeuille</w:t>
      </w:r>
    </w:p>
    <w:p>
      <w:pPr>
        <w:spacing w:after="200"/>
        <w:jc w:val="center"/>
      </w:pPr>
      <w:r>
        <w:rPr>
          <w:rFonts w:ascii="DM Sans" w:cs="DM Sans" w:eastAsia="DM Sans" w:hAnsi="DM Sans"/>
          <w:i/>
          <w:iCs/>
          <w:color w:val="55606F"/>
          <w:sz w:val="22"/>
          <w:szCs w:val="22"/>
        </w:rPr>
        <w:t xml:space="preserve">In tweetallen, 25 minuten</w:t>
      </w:r>
    </w:p>
    <w:p>
      <w:pPr>
        <w:spacing w:after="160"/>
      </w:pPr>
      <w:r>
        <w:rPr>
          <w:rFonts w:ascii="DM Sans" w:cs="DM Sans" w:eastAsia="DM Sans" w:hAnsi="DM Sans"/>
          <w:color w:val="14213D"/>
          <w:sz w:val="22"/>
          <w:szCs w:val="22"/>
        </w:rPr>
        <w:t xml:space="preserve">Neem een lijst van tien (fictieve of echte) openstaande verbeterpunten uit je eigen werk. Deel ze in naar de vier typen (renderend, beschermend, verplicht, optiescheppend). Komt de verdeling overeen met de kenmerken van een gezonde verdeling uit 16.4? Welk type is ondervertegenwoordigd?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Structurele complexiteit</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Voor twee systemen uit je eigen werk — één dat je als "eenvoudig te wijzigen" ervaart, één als "lastig" — beantwoord de vraag uit 16.5: als je één ding wijzigt, hoeveel andere dingen moet je meenemen? Komt je intuïtieve label overeen met het antwoord?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De architectuur-dekkingsgraad</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Kies een risicogebied uit je eigen werk (bijvoorbeeld: beveiliging, beschikbaarheid, of naleving van een specifieke regel). Breng in kaart welk deel gedekt is door een expliciet besluit, test of document, en welk deel op vertrouwen draait. Bereken een ruwe dekkingsgraad.</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De schuldmetafoor toepassen</w:t>
      </w:r>
    </w:p>
    <w:p>
      <w:pPr>
        <w:spacing w:after="160"/>
      </w:pPr>
      <w:r>
        <w:rPr>
          <w:rFonts w:ascii="DM Sans" w:cs="DM Sans" w:eastAsia="DM Sans" w:hAnsi="DM Sans"/>
          <w:color w:val="14213D"/>
          <w:sz w:val="22"/>
          <w:szCs w:val="22"/>
        </w:rPr>
        <w:t xml:space="preserve">Geen modelantwoord. Verwacht patroon: de rente is vaak makkelijker te schatten dan de hoofdsom, omdat de rente zich herhaalt en dus zichtbaarder is (net als bij het koppelvlak in niveau 1). De hoofdsom vergt een schatting achteraf van wat "goed doen" destijds had gekost — vaak lastiger, maar niet onmogelijk met de basislijn/bandbreedte-techniek uit deel 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De investeringsportefeuille</w:t>
      </w:r>
    </w:p>
    <w:p>
      <w:pPr>
        <w:spacing w:after="160"/>
      </w:pPr>
      <w:r>
        <w:rPr>
          <w:rFonts w:ascii="DM Sans" w:cs="DM Sans" w:eastAsia="DM Sans" w:hAnsi="DM Sans"/>
          <w:color w:val="14213D"/>
          <w:sz w:val="22"/>
          <w:szCs w:val="22"/>
        </w:rPr>
        <w:t xml:space="preserve">Geen modelantwoord. Verwacht patroon, consistent met de casus: renderende punten domineren de meeste lijsten, en verplichte of beschermende punten zijn ondervertegenwoordigd — precies zoals bij Mutatieplatform vóór de indeling. Dat is de kernbevinding van de oefening: zonder bewuste indeling verdringt het makkelijkst te verdedigen type de rest.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Structurele complexiteit</w:t>
      </w:r>
    </w:p>
    <w:p>
      <w:pPr>
        <w:spacing w:after="160"/>
      </w:pPr>
      <w:r>
        <w:rPr>
          <w:rFonts w:ascii="DM Sans" w:cs="DM Sans" w:eastAsia="DM Sans" w:hAnsi="DM Sans"/>
          <w:color w:val="14213D"/>
          <w:sz w:val="22"/>
          <w:szCs w:val="22"/>
        </w:rPr>
        <w:t xml:space="preserve">Geen modelantwoord. Interessante uitkomst om in de nabespreking te benoemen: soms wijkt het intuïtieve label af van het feitelijke antwoord — een systeem dat "simpel" aanvoelt omdat het klein is, blijkt bij navraag toch veel andere systemen te raken bij een wijziging. Dat is dezelfde soort correctie als de legacytriage in deel 9, waar leeftijd ook niet de juiste maatstaf bleek.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De architectuur-dekkingsgraad</w:t>
      </w:r>
    </w:p>
    <w:p>
      <w:pPr>
        <w:spacing w:after="160"/>
      </w:pPr>
      <w:r>
        <w:rPr>
          <w:rFonts w:ascii="DM Sans" w:cs="DM Sans" w:eastAsia="DM Sans" w:hAnsi="DM Sans"/>
          <w:color w:val="14213D"/>
          <w:sz w:val="22"/>
          <w:szCs w:val="22"/>
        </w:rPr>
        <w:t xml:space="preserve">Geen modelantwoord. Verwacht resultaat: de eerste ruwe schatting van de dekkingsgraad ligt bij de meeste deelnemers lager dan hun eerste onderbuikgevoel. Net als bij de nulmeting op de vijf pijlers in deel 1 (niveau 1) geldt hier: een schatting die je moet onderbouwen met concrete voorbeelden, valt vaak lager uit dan een schatting op gevoel.</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2026-08-17T16:47:13.449Z</dcterms:created>
  <dcterms:modified xsi:type="dcterms:W3CDTF">2026-08-17T16:47:13.449Z</dcterms:modified>
</cp:coreProperties>
</file>

<file path=docProps/custom.xml><?xml version="1.0" encoding="utf-8"?>
<Properties xmlns="http://schemas.openxmlformats.org/officeDocument/2006/custom-properties" xmlns:vt="http://schemas.openxmlformats.org/officeDocument/2006/docPropsVTypes"/>
</file>