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18 — Docentenhandleiding</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rPr>
          <w:rFonts w:ascii="DM Sans" w:cs="DM Sans" w:eastAsia="DM Sans" w:hAnsi="DM Sans"/>
          <w:color w:val="14213D"/>
          <w:sz w:val="22"/>
          <w:szCs w:val="22"/>
        </w:rPr>
        <w:t xml:space="preserve">Deel 18 — Operating model II</w:t>
      </w:r>
    </w:p>
    <w:p>
      <w:pPr>
        <w:spacing w:after="160"/>
      </w:pPr>
      <w:r>
        <w:rPr>
          <w:rFonts w:ascii="DM Sans" w:cs="DM Sans" w:eastAsia="DM Sans" w:hAnsi="DM Sans"/>
          <w:b/>
          <w:bCs/>
          <w:color w:val="14213D"/>
          <w:sz w:val="22"/>
          <w:szCs w:val="22"/>
        </w:rPr>
        <w:t xml:space="preserve">Niveau 2 — Engagement, waarde en specialisatie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deelnemers moeten de vijf-vragen-kwaliteitsborgingtoets als reflex meenemen bij het afronden van elk eigen architectuurdocument, en beseffen dat "goed werk" niet hetzelfde is als "overdraagbaar werk."</w:t>
      </w:r>
    </w:p>
    <w:p>
      <w:pPr>
        <w:spacing w:after="160"/>
      </w:pPr>
      <w:r>
        <w:rPr>
          <w:rFonts w:ascii="DM Sans" w:cs="DM Sans" w:eastAsia="DM Sans" w:hAnsi="DM Sans"/>
          <w:b/>
          <w:bCs/>
          <w:color w:val="14213D"/>
          <w:sz w:val="22"/>
          <w:szCs w:val="22"/>
        </w:rPr>
        <w:t xml:space="preserve">Dit deel sluit het operating model af</w:t>
      </w:r>
      <w:r>
        <w:rPr>
          <w:rFonts w:ascii="DM Sans" w:cs="DM Sans" w:eastAsia="DM Sans" w:hAnsi="DM Sans"/>
          <w:color w:val="14213D"/>
          <w:sz w:val="22"/>
          <w:szCs w:val="22"/>
        </w:rPr>
        <w:t xml:space="preserve"> — benoem dat expliciet aan het begin, en leg de link naar deel 17: waar dat deel ging over besluiten en patronen die tussen mensen worden gedeeld, gaat dit deel over de vorm waarin dat delen daadwerkelijk werkt.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architect die vertrekt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 – 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Views: een consistente set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 – 1:00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de vaste vragen per view</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 – 1:20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Kwaliteitsborging van documenten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1:20 – 1:35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1:35 – 2:00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de kwaliteitsborgingtoets op je eigen werk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2:00 – 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1 — </w:t>
            </w:r>
            <w:r>
              <w:rPr>
                <w:rFonts w:ascii="DM Sans" w:cs="DM Sans" w:eastAsia="DM Sans" w:hAnsi="DM Sans"/>
                <w:i/>
                <w:iCs/>
                <w:color w:val="14213D"/>
                <w:sz w:val="22"/>
                <w:szCs w:val="22"/>
              </w:rPr>
              <w:t xml:space="preserve">het scharnier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 – 2:40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Deliverables: één standaard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2:40 – 2:55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2:55 – 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je eigen deliverable-standaard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 – 3:35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Repository en tooling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3:35 – 3:55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de repository-rol invoeren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3:55 – 4:15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dit deel heeft opgeleverd; einde operating model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4:15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Vooruitblik deel 19 (twee dagdelen)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Kwaliteitsborging en opdracht 1 (1:35 – 2:20) — het scharnier</w:t>
      </w:r>
    </w:p>
    <w:p>
      <w:pPr>
        <w:spacing w:after="160"/>
      </w:pPr>
      <w:r>
        <w:rPr>
          <w:rFonts w:ascii="DM Sans" w:cs="DM Sans" w:eastAsia="DM Sans" w:hAnsi="DM Sans"/>
          <w:b/>
          <w:bCs/>
          <w:color w:val="14213D"/>
          <w:sz w:val="22"/>
          <w:szCs w:val="22"/>
        </w:rPr>
        <w:t xml:space="preserve">Verwacht dat vraag 2 (het heroverwegingsmoment) opnieuw de zwakste blijkt</w:t>
      </w:r>
      <w:r>
        <w:rPr>
          <w:rFonts w:ascii="DM Sans" w:cs="DM Sans" w:eastAsia="DM Sans" w:hAnsi="DM Sans"/>
          <w:color w:val="14213D"/>
          <w:sz w:val="22"/>
          <w:szCs w:val="22"/>
        </w:rPr>
        <w:t xml:space="preserve">, zoals bij bijna elk eerder instrument met een soortgelijk veld in deze cursus. Benoem dat patroon expliciet in de nabespreking — het is inmiddels de vijfde of zesde keer dat dit gebeurt (deel 7, 9, 11, 17), en dat herhaalde patroon is zelf een leermoment: dit soort velden vergt bewuste, herhaalde aandacht, het wordt nooit vanzelf een gewoonte.</w:t>
      </w:r>
    </w:p>
    <w:p>
      <w:pPr>
        <w:pStyle w:val="Heading3"/>
      </w:pPr>
      <w:r>
        <w:rPr>
          <w:rFonts w:ascii="DM Sans" w:cs="DM Sans" w:eastAsia="DM Sans" w:hAnsi="DM Sans"/>
          <w:color w:val="14213D"/>
          <w:sz w:val="22"/>
          <w:szCs w:val="22"/>
        </w:rPr>
        <w:t xml:space="preserve">3.2 Deliverables (2:20 – 3:15)</w:t>
      </w:r>
    </w:p>
    <w:p>
      <w:pPr>
        <w:spacing w:after="160"/>
      </w:pPr>
      <w:r>
        <w:rPr>
          <w:rFonts w:ascii="DM Sans" w:cs="DM Sans" w:eastAsia="DM Sans" w:hAnsi="DM Sans"/>
          <w:b/>
          <w:bCs/>
          <w:color w:val="14213D"/>
          <w:sz w:val="22"/>
          <w:szCs w:val="22"/>
        </w:rPr>
        <w:t xml:space="preserve">Wijs expliciet op de zelfreflectie in 18.5</w:t>
      </w:r>
      <w:r>
        <w:rPr>
          <w:rFonts w:ascii="DM Sans" w:cs="DM Sans" w:eastAsia="DM Sans" w:hAnsi="DM Sans"/>
          <w:color w:val="14213D"/>
          <w:sz w:val="22"/>
          <w:szCs w:val="22"/>
        </w:rPr>
        <w:t xml:space="preserve"> — deze cursus zelf is opgebouwd volgens exact hetzelfde principe (vaste vier deliverables per deel). Dit landt vaak goed bij deelnemers en maakt het abstracte principe direct tastbaar: ze hebben de deliverable-standaard al dertig keer in actie gezien voordat het woord viel.</w:t>
      </w:r>
    </w:p>
    <w:p>
      <w:pPr>
        <w:pStyle w:val="Heading3"/>
      </w:pPr>
      <w:r>
        <w:rPr>
          <w:rFonts w:ascii="DM Sans" w:cs="DM Sans" w:eastAsia="DM Sans" w:hAnsi="DM Sans"/>
          <w:color w:val="14213D"/>
          <w:sz w:val="22"/>
          <w:szCs w:val="22"/>
        </w:rPr>
        <w:t xml:space="preserve">3.3 Repository en opdracht 4 (3:15 – 3:55)</w:t>
      </w:r>
    </w:p>
    <w:p>
      <w:pPr>
        <w:spacing w:after="160"/>
      </w:pPr>
      <w:r>
        <w:rPr>
          <w:rFonts w:ascii="DM Sans" w:cs="DM Sans" w:eastAsia="DM Sans" w:hAnsi="DM Sans"/>
          <w:b/>
          <w:bCs/>
          <w:color w:val="14213D"/>
          <w:sz w:val="22"/>
          <w:szCs w:val="22"/>
        </w:rPr>
        <w:t xml:space="preserve">Zorg dat het voorstel uit opdracht 4 klein en concreet blijft.</w:t>
      </w:r>
      <w:r>
        <w:rPr>
          <w:rFonts w:ascii="DM Sans" w:cs="DM Sans" w:eastAsia="DM Sans" w:hAnsi="DM Sans"/>
          <w:color w:val="14213D"/>
          <w:sz w:val="22"/>
          <w:szCs w:val="22"/>
        </w:rPr>
        <w:t xml:space="preserve"> Groepen hebben de neiging om bij "wie bewaakt het geheel" een te zware oplossing te bedenken (een nieuwe functie, een kwartaalaudit). Herinner aan de schaal van Claudette's voorstel: één uur per maand, bij toerbeurt.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Kwaliteitsborgingtoets-resultaat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direct toepasbaar op eigen documentatie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Deliverable-standaard (opdracht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 voor deel 20 (volwassenheid)</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Geen specifieke materialen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Deel 19 is het tweede tweevoudige deel van niveau 2 en het langst aangekondigde: Governance en roadmap. Het lost de spanning tussen "bouw dingen, bestuur geen dingen" (deel 1) en het architectuurgremium (deel 9, kaders versus ontwerp) definitief op, en behandelt product versus project, roadmapping, en experimenteren. Reserveer twee dagdelen en bereid je voor door de reader van deel 19 door te nemen zodra deze beschikbaar is.</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2026-08-17T16:47:13.831Z</dcterms:created>
  <dcterms:modified xsi:type="dcterms:W3CDTF">2026-08-17T16:47:13.831Z</dcterms:modified>
</cp:coreProperties>
</file>

<file path=docProps/custom.xml><?xml version="1.0" encoding="utf-8"?>
<Properties xmlns="http://schemas.openxmlformats.org/officeDocument/2006/custom-properties" xmlns:vt="http://schemas.openxmlformats.org/officeDocument/2006/docPropsVTypes"/>
</file>