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23 — Docentenhandleiding</w:t>
      </w:r>
    </w:p>
    <w:p>
      <w:pPr>
        <w:spacing w:after="800" w:before="200"/>
        <w:jc w:val="center"/>
      </w:pPr>
      <w:r>
        <w:rPr>
          <w:rFonts w:ascii="DM Sans" w:cs="DM Sans" w:eastAsia="DM Sans" w:hAnsi="DM Sans"/>
          <w:color w:val="55606F"/>
          <w:sz w:val="26"/>
          <w:szCs w:val="26"/>
        </w:rPr>
        <w:t xml:space="preserve">Niveau 3 · BTABoK</w:t>
      </w:r>
    </w:p>
    <w:p>
      <w:r>
        <w:br w:type="page"/>
      </w:r>
    </w:p>
    <w:p>
      <w:pPr>
        <w:pStyle w:val="Heading1"/>
      </w:pPr>
      <w:r>
        <w:rPr>
          <w:rFonts w:ascii="DM Sans" w:cs="DM Sans" w:eastAsia="DM Sans" w:hAnsi="DM Sans"/>
          <w:color w:val="14213D"/>
          <w:sz w:val="22"/>
          <w:szCs w:val="22"/>
        </w:rPr>
        <w:t xml:space="preserve">Deel 23 — De architectuurpraktijk</w:t>
      </w:r>
    </w:p>
    <w:p>
      <w:pPr>
        <w:spacing w:after="160"/>
      </w:pPr>
      <w:r>
        <w:rPr>
          <w:rFonts w:ascii="DM Sans" w:cs="DM Sans" w:eastAsia="DM Sans" w:hAnsi="DM Sans"/>
          <w:b/>
          <w:bCs/>
          <w:color w:val="14213D"/>
          <w:sz w:val="22"/>
          <w:szCs w:val="22"/>
        </w:rPr>
        <w:t xml:space="preserve">Niveau 3 — Board-gereedheid en praktijkleiderschap | Docentenhandleiding</w:t>
      </w:r>
    </w:p>
    <w:p>
      <w:pPr>
        <w:spacing w:after="200"/>
        <w:jc w:val="center"/>
      </w:pPr>
      <w:r>
        <w:rPr>
          <w:rFonts w:ascii="DM Sans" w:cs="DM Sans" w:eastAsia="DM Sans" w:hAnsi="DM Sans"/>
          <w:i/>
          <w:iCs/>
          <w:color w:val="55606F"/>
          <w:sz w:val="22"/>
          <w:szCs w:val="22"/>
        </w:rPr>
        <w:t xml:space="preserve">BTABoK-cursus, Ductus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Wat dit deel moet doen</w:t>
      </w:r>
    </w:p>
    <w:p>
      <w:pPr>
        <w:spacing w:after="160"/>
      </w:pPr>
      <w:r>
        <w:rPr>
          <w:rFonts w:ascii="DM Sans" w:cs="DM Sans" w:eastAsia="DM Sans" w:hAnsi="DM Sans"/>
          <w:b/>
          <w:bCs/>
          <w:color w:val="14213D"/>
          <w:sz w:val="22"/>
          <w:szCs w:val="22"/>
        </w:rPr>
        <w:t xml:space="preserve">Dit is de opening van niveau 3 — behandel het ook zo.</w:t>
      </w:r>
      <w:r>
        <w:rPr>
          <w:rFonts w:ascii="DM Sans" w:cs="DM Sans" w:eastAsia="DM Sans" w:hAnsi="DM Sans"/>
          <w:color w:val="14213D"/>
          <w:sz w:val="22"/>
          <w:szCs w:val="22"/>
        </w:rPr>
        <w:t xml:space="preserve"> Kondig expliciet aan dat de casus opnieuw een sprong maakt: twee jaar verder, een nieuwe, veel grotere opgave (de Wtp-overgang), en dat niveau 3 een fundamenteel ander soort vraagstuk behandelt dan niveau 1 en 2. Niveau 1 ging over persoonlijke competentie, niveau 2 over het inrichten van één eigen opdracht binnen een programma; niveau 3 gaat over het opbouwen en leiden van een praktijk van meerdere architecten.</w:t>
      </w:r>
    </w:p>
    <w:p>
      <w:pPr>
        <w:spacing w:after="160"/>
      </w:pPr>
      <w:r>
        <w:rPr>
          <w:rFonts w:ascii="DM Sans" w:cs="DM Sans" w:eastAsia="DM Sans" w:hAnsi="DM Sans"/>
          <w:b/>
          <w:bCs/>
          <w:color w:val="14213D"/>
          <w:sz w:val="22"/>
          <w:szCs w:val="22"/>
        </w:rPr>
        <w:t xml:space="preserve">Hoofddoel:</w:t>
      </w:r>
      <w:r>
        <w:rPr>
          <w:rFonts w:ascii="DM Sans" w:cs="DM Sans" w:eastAsia="DM Sans" w:hAnsi="DM Sans"/>
          <w:color w:val="14213D"/>
          <w:sz w:val="22"/>
          <w:szCs w:val="22"/>
        </w:rPr>
        <w:t xml:space="preserve"> deelnemers moeten het praktijkcharter kunnen toepassen op hun eigen (of een denkbeeldige) praktijk, en een praktijkladder met concrete, toetsbare groeicriteria kunnen ontwerpen.</w:t>
      </w:r>
    </w:p>
    <w:p>
      <w:pPr>
        <w:spacing w:after="160"/>
      </w:pPr>
      <w:r>
        <w:rPr>
          <w:rFonts w:ascii="DM Sans" w:cs="DM Sans" w:eastAsia="DM Sans" w:hAnsi="DM Sans"/>
          <w:b/>
          <w:bCs/>
          <w:color w:val="14213D"/>
          <w:sz w:val="22"/>
          <w:szCs w:val="22"/>
        </w:rPr>
        <w:t xml:space="preserve">Verwacht bij deze groep:</w:t>
      </w:r>
      <w:r>
        <w:rPr>
          <w:rFonts w:ascii="DM Sans" w:cs="DM Sans" w:eastAsia="DM Sans" w:hAnsi="DM Sans"/>
          <w:color w:val="14213D"/>
          <w:sz w:val="22"/>
          <w:szCs w:val="22"/>
        </w:rPr>
        <w:t xml:space="preserve"> deelnemers die tot hier zijn gekomen, hebben zowel niveau 1 als niveau 2 doorlopen en zijn zelf mogelijk toe aan een senior- of praktijkleidende rol. Gebruik dat: vraag aan het begin wie er zelf al verantwoordelijkheid draagt voor meer dan één architect of ontwikkelaar, en bouw daarop voort.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Tijdsindeling — één dagdeel (4 uur)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Tijd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Onderdeel</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Vorm</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0:00 – 0:10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Aankondiging: nieuwe casusfase, niveau 3 begint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0:10 – 0:25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Acht tot tien architecten, geen charter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verhaal + slides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0:25 – 0:45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praktijk als eigen entiteit; het praktijkcharter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0:45 – 1:10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1 — van opdrachtblad naar praktijkcharter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individueel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1:10 – 1:30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1:30 – 1:45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2 — project- of productpraktijk</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tweetallen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1:45 – 2:10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Rollen en een ontwikkelpad: de praktijkladder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2:10 – 2:35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3 — de praktijkladder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individueel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2:35 – 2:50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i/>
                <w:iCs/>
                <w:color w:val="14213D"/>
                <w:sz w:val="22"/>
                <w:szCs w:val="22"/>
              </w:rPr>
              <w:t xml:space="preserve">Pauze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2:50 – 3:15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Opdracht 4 — het keuzemenu voor praktijkomvang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groepen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3:15 – 3:40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Presentaties; het praktijkcharter voor Wtp</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3:40 – 4:00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Wat dit deel heeft opgeleverd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4:00 – 4:30</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Vooruitblik deel 24</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plenair</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Per onderdeel: aanpak en valkuilen</w:t>
      </w:r>
    </w:p>
    <w:p>
      <w:pPr>
        <w:pStyle w:val="Heading3"/>
      </w:pPr>
      <w:r>
        <w:rPr>
          <w:rFonts w:ascii="DM Sans" w:cs="DM Sans" w:eastAsia="DM Sans" w:hAnsi="DM Sans"/>
          <w:color w:val="14213D"/>
          <w:sz w:val="22"/>
          <w:szCs w:val="22"/>
        </w:rPr>
        <w:t xml:space="preserve">3.1 Het praktijkcharter en opdracht 1 (0:25 – 1:10)</w:t>
      </w:r>
    </w:p>
    <w:p>
      <w:pPr>
        <w:spacing w:after="160"/>
      </w:pPr>
      <w:r>
        <w:rPr>
          <w:rFonts w:ascii="DM Sans" w:cs="DM Sans" w:eastAsia="DM Sans" w:hAnsi="DM Sans"/>
          <w:b/>
          <w:bCs/>
          <w:color w:val="14213D"/>
          <w:sz w:val="22"/>
          <w:szCs w:val="22"/>
        </w:rPr>
        <w:t xml:space="preserve">Verwacht dat "exitcriteria" opnieuw het lastigste veld is</w:t>
      </w:r>
      <w:r>
        <w:rPr>
          <w:rFonts w:ascii="DM Sans" w:cs="DM Sans" w:eastAsia="DM Sans" w:hAnsi="DM Sans"/>
          <w:color w:val="14213D"/>
          <w:sz w:val="22"/>
          <w:szCs w:val="22"/>
        </w:rPr>
        <w:t xml:space="preserve"> — nu met een complicatie: bij een blijvende praktijk is er vaak simpelweg geen exitcriterium, en deelnemers moeten leren dat expliciet te benoemen in plaats van het veld stilzwijgend leeg te laten. Een leeg veld en een bewust "geen exitcriterium, want dit is een blijvende functie" zijn niet hetzelfde, en het onderscheid is het leermoment.</w:t>
      </w:r>
    </w:p>
    <w:p>
      <w:pPr>
        <w:pStyle w:val="Heading3"/>
      </w:pPr>
      <w:r>
        <w:rPr>
          <w:rFonts w:ascii="DM Sans" w:cs="DM Sans" w:eastAsia="DM Sans" w:hAnsi="DM Sans"/>
          <w:color w:val="14213D"/>
          <w:sz w:val="22"/>
          <w:szCs w:val="22"/>
        </w:rPr>
        <w:t xml:space="preserve">3.2 De praktijkladder en opdracht 3 (1:45 – 2:35) — het scharnier</w:t>
      </w:r>
    </w:p>
    <w:p>
      <w:pPr>
        <w:spacing w:after="160"/>
      </w:pPr>
      <w:r>
        <w:rPr>
          <w:rFonts w:ascii="DM Sans" w:cs="DM Sans" w:eastAsia="DM Sans" w:hAnsi="DM Sans"/>
          <w:b/>
          <w:bCs/>
          <w:color w:val="14213D"/>
          <w:sz w:val="22"/>
          <w:szCs w:val="22"/>
        </w:rPr>
        <w:t xml:space="preserve">Dit is het belangrijkste instrument van het deel.</w:t>
      </w:r>
      <w:r>
        <w:rPr>
          <w:rFonts w:ascii="DM Sans" w:cs="DM Sans" w:eastAsia="DM Sans" w:hAnsi="DM Sans"/>
          <w:color w:val="14213D"/>
          <w:sz w:val="22"/>
          <w:szCs w:val="22"/>
        </w:rPr>
        <w:t xml:space="preserve"> Besteed extra tijd aan het onderscheid tussen een vaag criterium ("voldoende ervaring", "senior mindset") en een concreet, toetsbaar criterium (zoals in 23.4). Vraag bij opdracht 3 door tot elk criterium aantoonbaar is — "hoe zou je dit kunnen bewijzen?"</w:t>
      </w:r>
    </w:p>
    <w:p>
      <w:pPr>
        <w:spacing w:after="160"/>
      </w:pPr>
      <w:r>
        <w:rPr>
          <w:rFonts w:ascii="DM Sans" w:cs="DM Sans" w:eastAsia="DM Sans" w:hAnsi="DM Sans"/>
          <w:b/>
          <w:bCs/>
          <w:color w:val="14213D"/>
          <w:sz w:val="22"/>
          <w:szCs w:val="22"/>
        </w:rPr>
        <w:t xml:space="preserve">Wijs desgewenst op de zelfreflectie in 23.4</w:t>
      </w:r>
      <w:r>
        <w:rPr>
          <w:rFonts w:ascii="DM Sans" w:cs="DM Sans" w:eastAsia="DM Sans" w:hAnsi="DM Sans"/>
          <w:color w:val="14213D"/>
          <w:sz w:val="22"/>
          <w:szCs w:val="22"/>
        </w:rPr>
        <w:t xml:space="preserve"> (de cursus zelf als praktijkladder). Dit landt goed bij deelnemers die de cursus als geheel doorlopen — het maakt tastbaar wat een ontwikkelpad met concrete niveaus in de praktijk betekent.</w:t>
      </w:r>
    </w:p>
    <w:p>
      <w:pPr>
        <w:pStyle w:val="Heading3"/>
      </w:pPr>
      <w:r>
        <w:rPr>
          <w:rFonts w:ascii="DM Sans" w:cs="DM Sans" w:eastAsia="DM Sans" w:hAnsi="DM Sans"/>
          <w:color w:val="14213D"/>
          <w:sz w:val="22"/>
          <w:szCs w:val="22"/>
        </w:rPr>
        <w:t xml:space="preserve">3.3 Het keuzemenu, opdracht 4 (2:50 – 3:40)</w:t>
      </w:r>
    </w:p>
    <w:p>
      <w:pPr>
        <w:spacing w:after="160"/>
      </w:pPr>
      <w:r>
        <w:rPr>
          <w:rFonts w:ascii="DM Sans" w:cs="DM Sans" w:eastAsia="DM Sans" w:hAnsi="DM Sans"/>
          <w:b/>
          <w:bCs/>
          <w:color w:val="14213D"/>
          <w:sz w:val="22"/>
          <w:szCs w:val="22"/>
        </w:rPr>
        <w:t xml:space="preserve">Bewaak dat groepen een écht keuzemenu presenteren</w:t>
      </w:r>
      <w:r>
        <w:rPr>
          <w:rFonts w:ascii="DM Sans" w:cs="DM Sans" w:eastAsia="DM Sans" w:hAnsi="DM Sans"/>
          <w:color w:val="14213D"/>
          <w:sz w:val="22"/>
          <w:szCs w:val="22"/>
        </w:rPr>
        <w:t xml:space="preserve">, geen verkapt advies. Een veelgemaakte fout is de "kleine" optie zo onaantrekkelijk framen dat er maar één redelijke keuze overblijft — dat is geen keuzemenu maar een verhulde eis, en het ondermijnt precies het principe uit deel 2 en deel 8 dat deze oefening beoogt te herhalen.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Beoordeling en dossiervorming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Waar bewaard</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Waarvoor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Praktijkcharter (opdracht 1)</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deelnemersmap</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uitgangspunt voor de rest van niveau 3</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Praktijkladder (opdracht 3)</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deelnemersmap</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referentie voor latere delen over mentoring en ontwikkeling</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Benodigdheden</w:t>
      </w:r>
    </w:p>
    <w:p>
      <w:pPr>
        <w:pStyle w:val="ListParagraph"/>
        <w:numPr>
          <w:ilvl w:val="0"/>
          <w:numId w:val="2"/>
        </w:numPr>
      </w:pPr>
      <w:r>
        <w:rPr>
          <w:rFonts w:ascii="DM Sans" w:cs="DM Sans" w:eastAsia="DM Sans" w:hAnsi="DM Sans"/>
          <w:color w:val="14213D"/>
          <w:sz w:val="22"/>
          <w:szCs w:val="22"/>
        </w:rPr>
        <w:t xml:space="preserve">Praktijkcharter-sjabloon op A4</w:t>
      </w:r>
    </w:p>
    <w:p>
      <w:pPr>
        <w:pStyle w:val="ListParagraph"/>
        <w:numPr>
          <w:ilvl w:val="0"/>
          <w:numId w:val="2"/>
        </w:numPr>
      </w:pPr>
      <w:r>
        <w:rPr>
          <w:rFonts w:ascii="DM Sans" w:cs="DM Sans" w:eastAsia="DM Sans" w:hAnsi="DM Sans"/>
          <w:color w:val="14213D"/>
          <w:sz w:val="22"/>
          <w:szCs w:val="22"/>
        </w:rPr>
        <w:t xml:space="preserve">Geen verdere specifieke materialen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Vooruitblik voor de docent</w:t>
      </w:r>
    </w:p>
    <w:p>
      <w:pPr>
        <w:spacing w:after="160"/>
      </w:pPr>
      <w:r>
        <w:rPr>
          <w:rFonts w:ascii="DM Sans" w:cs="DM Sans" w:eastAsia="DM Sans" w:hAnsi="DM Sans"/>
          <w:color w:val="14213D"/>
          <w:sz w:val="22"/>
          <w:szCs w:val="22"/>
        </w:rPr>
        <w:t xml:space="preserve">Deel 24 vervolgt de opbouw van de architectuurpraktijk voor de Wtp-overgang. De precieze inhoud van dit en de volgende delen van niveau 3 (mentoring, community of practice, board-communicatie, strategische breedte) wordt nader uitgewerkt naarmate niveau 3 vordert. Bereid je voor door de laatste stand van de reader door te nemen zodra deze beschikbaar is.</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BTABoK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2026-08-17T16:47:14.577Z</dcterms:created>
  <dcterms:modified xsi:type="dcterms:W3CDTF">2026-08-17T16:47:14.577Z</dcterms:modified>
</cp:coreProperties>
</file>

<file path=docProps/custom.xml><?xml version="1.0" encoding="utf-8"?>
<Properties xmlns="http://schemas.openxmlformats.org/officeDocument/2006/custom-properties" xmlns:vt="http://schemas.openxmlformats.org/officeDocument/2006/docPropsVTypes"/>
</file>