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27 — Strategische breedte</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een portefeuillekaart kunnen opstellen die afhankelijkheden tussen meerdere programma's zichtbaar maakt, en het driestaps-prioriteringskader kunnen toepassen als twee initiatieven om dezelfde schaarse capaciteit vragen.</w:t>
      </w:r>
    </w:p>
    <w:p>
      <w:pPr>
        <w:spacing w:after="160"/>
      </w:pPr>
      <w:r>
        <w:rPr>
          <w:rFonts w:ascii="DM Sans" w:cs="DM Sans" w:eastAsia="DM Sans" w:hAnsi="DM Sans"/>
          <w:b/>
          <w:bCs/>
          <w:color w:val="14213D"/>
          <w:sz w:val="22"/>
          <w:szCs w:val="22"/>
        </w:rPr>
        <w:t xml:space="preserve">Dit deel markeert de overgang naar het bredere, CITA-P-niveau van kijken.</w:t>
      </w:r>
      <w:r>
        <w:rPr>
          <w:rFonts w:ascii="DM Sans" w:cs="DM Sans" w:eastAsia="DM Sans" w:hAnsi="DM Sans"/>
          <w:color w:val="14213D"/>
          <w:sz w:val="22"/>
          <w:szCs w:val="22"/>
        </w:rPr>
        <w:t xml:space="preserve"> Benoem expliciet dat waar de voorgaande delen van niveau 3 zich richtten op één praktijk die één (grote) transformatie draagt, dit deel de blik verbreedt naar samenhang tussen meerdere gelijktijdige programma's — de kern van wat CITA-P uiteindelijk toetst.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roadmaps, geen overzicht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portefeuillekaart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portefeuillekaart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Afhankelijkheden vroeg herkennen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de afhankelijkheidsvraag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Prioriteren tussen werkstromen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prioriteren tussen werkstromen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besluit vastleggen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effect op Wtp; wat dit deel opleverde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terugblik op niveau 3 tot nu toe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portefeuillekaart en opdracht 1 (0:15 – 1:20) — het scharnier</w:t>
      </w:r>
    </w:p>
    <w:p>
      <w:pPr>
        <w:spacing w:after="160"/>
      </w:pPr>
      <w:r>
        <w:rPr>
          <w:rFonts w:ascii="DM Sans" w:cs="DM Sans" w:eastAsia="DM Sans" w:hAnsi="DM Sans"/>
          <w:b/>
          <w:bCs/>
          <w:color w:val="14213D"/>
          <w:sz w:val="22"/>
          <w:szCs w:val="22"/>
        </w:rPr>
        <w:t xml:space="preserve">Verwacht dat deelnemers bij opdracht 1 initieel moeite hebben om drie werkelijk onafhankelijke programma's te vinden die tegelijk een afhankelijkheid delen.</w:t>
      </w:r>
      <w:r>
        <w:rPr>
          <w:rFonts w:ascii="DM Sans" w:cs="DM Sans" w:eastAsia="DM Sans" w:hAnsi="DM Sans"/>
          <w:color w:val="14213D"/>
          <w:sz w:val="22"/>
          <w:szCs w:val="22"/>
        </w:rPr>
        <w:t xml:space="preserve"> Als het echt niet lukt binnen de eigen organisatie, laat de groep dan een denkbeeldig maar realistisch scenario samenstellen.</w:t>
      </w:r>
    </w:p>
    <w:p>
      <w:pPr>
        <w:spacing w:after="160"/>
      </w:pPr>
      <w:r>
        <w:rPr>
          <w:rFonts w:ascii="DM Sans" w:cs="DM Sans" w:eastAsia="DM Sans" w:hAnsi="DM Sans"/>
          <w:b/>
          <w:bCs/>
          <w:color w:val="14213D"/>
          <w:sz w:val="22"/>
          <w:szCs w:val="22"/>
        </w:rPr>
        <w:t xml:space="preserve">Bij de nabespreking, benadruk het patroon: de gevonden afhankelijkheid is bijna altijd slechts bij één kant bekend.</w:t>
      </w:r>
      <w:r>
        <w:rPr>
          <w:rFonts w:ascii="DM Sans" w:cs="DM Sans" w:eastAsia="DM Sans" w:hAnsi="DM Sans"/>
          <w:color w:val="14213D"/>
          <w:sz w:val="22"/>
          <w:szCs w:val="22"/>
        </w:rPr>
        <w:t xml:space="preserve"> Dat is de kern van waarom dit instrument waarde toevoegt — niet omdat het nieuwe feiten oplevert, maar omdat het bestaande feiten bij elkaar brengt die niemand had gecombineerd.</w:t>
      </w:r>
    </w:p>
    <w:p>
      <w:pPr>
        <w:pStyle w:val="Heading3"/>
      </w:pPr>
      <w:r>
        <w:rPr>
          <w:rFonts w:ascii="DM Sans" w:cs="DM Sans" w:eastAsia="DM Sans" w:hAnsi="DM Sans"/>
          <w:color w:val="14213D"/>
          <w:sz w:val="22"/>
          <w:szCs w:val="22"/>
        </w:rPr>
        <w:t xml:space="preserve">3.2 Prioriteren tussen werkstromen (2:25 – 3:15)</w:t>
      </w:r>
    </w:p>
    <w:p>
      <w:pPr>
        <w:spacing w:after="160"/>
      </w:pPr>
      <w:r>
        <w:rPr>
          <w:rFonts w:ascii="DM Sans" w:cs="DM Sans" w:eastAsia="DM Sans" w:hAnsi="DM Sans"/>
          <w:b/>
          <w:bCs/>
          <w:color w:val="14213D"/>
          <w:sz w:val="22"/>
          <w:szCs w:val="22"/>
        </w:rPr>
        <w:t xml:space="preserve">Verwacht discussie over wat precies "verplicht" betekent</w:t>
      </w:r>
      <w:r>
        <w:rPr>
          <w:rFonts w:ascii="DM Sans" w:cs="DM Sans" w:eastAsia="DM Sans" w:hAnsi="DM Sans"/>
          <w:color w:val="14213D"/>
          <w:sz w:val="22"/>
          <w:szCs w:val="22"/>
        </w:rPr>
        <w:t xml:space="preserve"> — is een interne deadline hetzelfde als een wettelijke verplichting? Gebruik dit om het onderscheid uit deel 3 (niveau 1) te herhalen: verplicht betekent een externe eis, niet een zelfopgelegde druk, hoe urgent die ook aanvoelt.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Portefeuillekaart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 van het CITA-P-portfolio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Prioriteringsbesluit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 capstone van niveau 3</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Groot vel of digitaal whiteboard voor de portefeuillekaart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Niveau 3 vervolgt met risicobeheer op praktijkschaal, de gedragscode voor senior architecten in board-gevoelige situaties, en sluit af met een capstone waarin het complete board-dossier voor CITA-S/P wordt samengesteld en verdedigd — vergelijkbaar in vorm met deel 10 en deel 22, maar nu voor een board in plaats van een MT of een portfoliocommissie. De exacte invulling van de resterende delen van niveau 3 wordt nader uitgewerkt.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2026-08-17T16:47:15.073Z</dcterms:created>
  <dcterms:modified xsi:type="dcterms:W3CDTF">2026-08-17T16:47:15.073Z</dcterms:modified>
</cp:coreProperties>
</file>

<file path=docProps/custom.xml><?xml version="1.0" encoding="utf-8"?>
<Properties xmlns="http://schemas.openxmlformats.org/officeDocument/2006/custom-properties" xmlns:vt="http://schemas.openxmlformats.org/officeDocument/2006/docPropsVTypes"/>
</file>