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Deelnemers verlaten de zaal met een kaart, niet met feiten. Concreet: zij kunnen elke regeling die zij tegenkomen indelen langs vier vragen, en zij weten dat “fonds of verzekeraar” geen administratief detail is maar de belangrijkste splitsing in de hele cursus.</w:t>
      </w:r>
    </w:p>
    <w:p>
      <w:pPr>
        <w:spacing w:after="140" w:line="300"/>
      </w:pPr>
      <w:r>
        <w:rPr>
          <w:rFonts w:ascii="Calibri" w:cs="Calibri" w:eastAsia="Calibri" w:hAnsi="Calibri"/>
          <w:b w:val="false"/>
          <w:bCs w:val="false"/>
          <w:i w:val="false"/>
          <w:iCs w:val="false"/>
          <w:sz w:val="22"/>
          <w:szCs w:val="22"/>
        </w:rPr>
        <w:t xml:space="preserve">De verleiding in dit deel is om te veel inhoud te geven. Doe dat niet. Alles wat je hier vooruitneemt (premiegrenzen, invaarregels, compensatieberekeningen) haalt de spanning uit de delen 5 tot en met 7, waar het thuishoort. Als een deelnemer een vraag stelt die daar hoort, parkeer die zichtbaar op een flap “Deel 5-7”.</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Welkom, opdracht 1.1 nulmeting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schrijven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pijlers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figuur 1-1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spelers en het drieluik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met opdracht 1.4 in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uitvoerders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1.3, dan plenaire vergelijking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Weeffouten en tijdlijn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 college, figuur 1-3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Wtp of niet-Wtp + vier analysevragen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1.5 in 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Casusintroductie, Karel en Yasmin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opdracht 1.6a mondeling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en huiswerk (1.7, 1.8)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Nulmeting (1.1).</w:t>
      </w:r>
      <w:r>
        <w:rPr>
          <w:rFonts w:ascii="Calibri" w:cs="Calibri" w:eastAsia="Calibri" w:hAnsi="Calibri"/>
          <w:b w:val="false"/>
          <w:bCs w:val="false"/>
          <w:i w:val="false"/>
          <w:iCs w:val="false"/>
          <w:sz w:val="22"/>
          <w:szCs w:val="22"/>
        </w:rPr>
        <w:t xml:space="preserve"> Laat deelnemers niet overleggen en niet opzoeken. Verzamel de antwoorden niet plenair — dat maakt mensen voorzichtig. Zeg alleen dat deze vragen in deel 10 terugkomen. De waarde zit in de vergelijking achteraf, niet in het gesprek nu.</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Drie pijlers.</w:t>
      </w:r>
      <w:r>
        <w:rPr>
          <w:rFonts w:ascii="Calibri" w:cs="Calibri" w:eastAsia="Calibri" w:hAnsi="Calibri"/>
          <w:b w:val="false"/>
          <w:bCs w:val="false"/>
          <w:i w:val="false"/>
          <w:iCs w:val="false"/>
          <w:sz w:val="22"/>
          <w:szCs w:val="22"/>
        </w:rPr>
        <w:t xml:space="preserve"> Reken op minstens één deelnemer die de AOW en het werknemerspensioen door elkaar haalt, ook in een groep professionals. Corrigeer zonder ironie; dit misverstand zit ook bij deelnemers in de klantcontacten die zij voeren. Koppel het direct aan opdracht 1.7.1.</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drieluik.</w:t>
      </w:r>
      <w:r>
        <w:rPr>
          <w:rFonts w:ascii="Calibri" w:cs="Calibri" w:eastAsia="Calibri" w:hAnsi="Calibri"/>
          <w:b w:val="false"/>
          <w:bCs w:val="false"/>
          <w:i w:val="false"/>
          <w:iCs w:val="false"/>
          <w:sz w:val="22"/>
          <w:szCs w:val="22"/>
        </w:rPr>
        <w:t xml:space="preserve"> Dit is het belangrijkste didactische instrument van de hele cursus. Introduceer het staand aan de flap en schrijf de drie vragen groot op; laat ze het hele dagdeel hangen. Als je één ding goed moet doen in dit dagdeel, is dit het.</w:t>
      </w:r>
    </w:p>
    <w:p>
      <w:pPr>
        <w:spacing w:after="140" w:line="300"/>
      </w:pPr>
      <w:r>
        <w:rPr>
          <w:rFonts w:ascii="Calibri" w:cs="Calibri" w:eastAsia="Calibri" w:hAnsi="Calibri"/>
          <w:b w:val="false"/>
          <w:bCs w:val="false"/>
          <w:i w:val="false"/>
          <w:iCs w:val="false"/>
          <w:sz w:val="22"/>
          <w:szCs w:val="22"/>
        </w:rPr>
        <w:t xml:space="preserve">Veelvoorkomend struikelblok bij opdracht 1.4: deelnemers zeggen bij de middelloonregeling “de werkgever draagt het risico”. Vraag dan door: waar staat dat? Bij een verplichtgesteld bedrijfstakpensioenfonds is er geen bijstortverplichting; de werkgever betaalt premie en is daarmee klaar. Dat verschil met een verzekerd contract met garanties is precies wat je hier wilt laten landen.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vier uitvoerders.</w:t>
      </w:r>
      <w:r>
        <w:rPr>
          <w:rFonts w:ascii="Calibri" w:cs="Calibri" w:eastAsia="Calibri" w:hAnsi="Calibri"/>
          <w:b w:val="false"/>
          <w:bCs w:val="false"/>
          <w:i w:val="false"/>
          <w:iCs w:val="false"/>
          <w:sz w:val="22"/>
          <w:szCs w:val="22"/>
        </w:rPr>
        <w:t xml:space="preserve"> Laat de tabel invullen vóór de uitleg, niet erna. Deelnemers die uit de fondsenwereld komen onderschatten stelselmatig de rol van contractduur; deelnemers uit de verzekeringswereld onderschatten wat “geen aandeelhouder” betekent voor de manier waarop een fondsbestuur een besluit neemt. Als je een gemengde groep hebt, laat ze elkaar dit uitleggen — dat werkt beter dan jouw uitleg.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Weeffouten.</w:t>
      </w:r>
      <w:r>
        <w:rPr>
          <w:rFonts w:ascii="Calibri" w:cs="Calibri" w:eastAsia="Calibri" w:hAnsi="Calibri"/>
          <w:b w:val="false"/>
          <w:bCs w:val="false"/>
          <w:i w:val="false"/>
          <w:iCs w:val="false"/>
          <w:sz w:val="22"/>
          <w:szCs w:val="22"/>
        </w:rPr>
        <w:t xml:space="preserve"> Behandel de doorsneesystematiek met een tekening, niet met tekst: twee balken, inleg versus opgebouwde waarde, voor een 25-jarige en een 60-jarige. De rekenkundige diepgang komt in deel 3 en 11; hier gaat het om het inzicht dat de herverdeling ingebouwd was en dat dat bij een mobiele arbeidsmarkt scheef gaat.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Tijdlijn.</w:t>
      </w:r>
      <w:r>
        <w:rPr>
          <w:rFonts w:ascii="Calibri" w:cs="Calibri" w:eastAsia="Calibri" w:hAnsi="Calibri"/>
          <w:b w:val="false"/>
          <w:bCs w:val="false"/>
          <w:i w:val="false"/>
          <w:iCs w:val="false"/>
          <w:sz w:val="22"/>
          <w:szCs w:val="22"/>
        </w:rPr>
        <w:t xml:space="preserve"> Benadruk de nuance over de verlenging naar 1 januari 2028: die was bedoeld om de uitvoeringspiek te spreiden, niet om iedereen een jaar uitstel te geven. Deelnemers die in de praktijk werken herkennen dit meestal onmiddellijk en kunnen er uit eigen ervaring iets over vertellen; geef daar ruimte aan, maximaal vijf minuten.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Wtp of niet-Wtp.</w:t>
      </w:r>
      <w:r>
        <w:rPr>
          <w:rFonts w:ascii="Calibri" w:cs="Calibri" w:eastAsia="Calibri" w:hAnsi="Calibri"/>
          <w:b w:val="false"/>
          <w:bCs w:val="false"/>
          <w:i w:val="false"/>
          <w:iCs w:val="false"/>
          <w:sz w:val="22"/>
          <w:szCs w:val="22"/>
        </w:rPr>
        <w:t xml:space="preserve"> Schrijf de kernzin op de flap en laat hem staan tot en met deel 7:</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Niet-Wtp is geen fout; niet-Wtp zonder geldige overgangsgrond ná de uiterste datum wel.</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1.5.</w:t>
      </w:r>
      <w:r>
        <w:rPr>
          <w:rFonts w:ascii="Calibri" w:cs="Calibri" w:eastAsia="Calibri" w:hAnsi="Calibri"/>
          <w:b w:val="false"/>
          <w:bCs w:val="false"/>
          <w:i w:val="false"/>
          <w:iCs w:val="false"/>
          <w:sz w:val="22"/>
          <w:szCs w:val="22"/>
        </w:rPr>
        <w:t xml:space="preserve"> Dit is de zwaarste opdracht van het dagdeel en de opdracht waarop je moet doorvragen. Het doel is niet dat de deelnemers vraag 4 al kunnen beantwoorden — dat kunnen ze niet, dat komt in deel 6. Het doel is dat ze </w:t>
      </w:r>
      <w:r>
        <w:rPr>
          <w:rFonts w:ascii="Calibri" w:cs="Calibri" w:eastAsia="Calibri" w:hAnsi="Calibri"/>
          <w:b w:val="false"/>
          <w:bCs w:val="false"/>
          <w:i/>
          <w:iCs/>
          <w:sz w:val="22"/>
          <w:szCs w:val="22"/>
        </w:rPr>
        <w:t xml:space="preserve">voelen</w:t>
      </w:r>
      <w:r>
        <w:rPr>
          <w:rFonts w:ascii="Calibri" w:cs="Calibri" w:eastAsia="Calibri" w:hAnsi="Calibri"/>
          <w:b w:val="false"/>
          <w:bCs w:val="false"/>
          <w:i w:val="false"/>
          <w:iCs w:val="false"/>
          <w:sz w:val="22"/>
          <w:szCs w:val="22"/>
        </w:rPr>
        <w:t xml:space="preserve"> dat vraag 4 bestaat en dat het antwoord per situatie verschilt. Beloon expliciet het benoemen van ontbrekende informatie.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Karel en Yasmin.</w:t>
      </w:r>
      <w:r>
        <w:rPr>
          <w:rFonts w:ascii="Calibri" w:cs="Calibri" w:eastAsia="Calibri" w:hAnsi="Calibri"/>
          <w:b w:val="false"/>
          <w:bCs w:val="false"/>
          <w:i w:val="false"/>
          <w:iCs w:val="false"/>
          <w:sz w:val="22"/>
          <w:szCs w:val="22"/>
        </w:rPr>
        <w:t xml:space="preserve"> Behandel opdracht 1.6a mondeling en laat b en c open. Sluit af met de opmerking dat de vraag “wie betaalt het verschil” pas in deel 7 wordt beantwoord en in deel 24 wordt uitgerekend. De spanning die dat oplevert, moet blijven staan.</w:t>
      </w:r>
    </w:p>
    <w:p>
      <w:pPr>
        <w:spacing w:after="100"/>
      </w:pPr>
    </w:p>
    <w:p>
      <w:pPr>
        <w:pStyle w:val="Heading2"/>
        <w:spacing w:after="120" w:before="200"/>
      </w:pPr>
      <w:r>
        <w:rPr>
          <w:rFonts w:ascii="Georgia" w:cs="Georgia" w:eastAsia="Georgia" w:hAnsi="Georgia"/>
          <w:b/>
          <w:bCs/>
          <w:color w:val="2563A8"/>
          <w:sz w:val="28"/>
          <w:szCs w:val="28"/>
        </w:rPr>
        <w:t xml:space="preserve">Omgaan met verschillende achtergronden</w:t>
      </w:r>
    </w:p>
    <w:p>
      <w:pPr>
        <w:spacing w:after="140" w:line="300"/>
      </w:pPr>
      <w:r>
        <w:rPr>
          <w:rFonts w:ascii="Calibri" w:cs="Calibri" w:eastAsia="Calibri" w:hAnsi="Calibri"/>
          <w:b w:val="false"/>
          <w:bCs w:val="false"/>
          <w:i w:val="false"/>
          <w:iCs w:val="false"/>
          <w:sz w:val="22"/>
          <w:szCs w:val="22"/>
        </w:rPr>
        <w:t xml:space="preserve">Reken op drie groepen in de zaal:</w:t>
      </w:r>
    </w:p>
    <w:p>
      <w:pPr>
        <w:pStyle w:val="ListParagraph"/>
        <w:numPr>
          <w:ilvl w:val="0"/>
          <w:numId w:val="1"/>
        </w:numPr>
        <w:spacing w:after="80"/>
      </w:pPr>
      <w:r>
        <w:rPr>
          <w:rFonts w:ascii="Calibri" w:cs="Calibri" w:eastAsia="Calibri" w:hAnsi="Calibri"/>
          <w:sz w:val="22"/>
          <w:szCs w:val="22"/>
        </w:rPr>
        <w:t xml:space="preserve">Uitvoering (administratie, klantcontact, operations). Sterk in processen, zwak in juridische structuur. Voor hen is deel 2 het belangrijkste.</w:t>
      </w:r>
    </w:p>
    <w:p>
      <w:pPr>
        <w:pStyle w:val="ListParagraph"/>
        <w:numPr>
          <w:ilvl w:val="0"/>
          <w:numId w:val="1"/>
        </w:numPr>
        <w:spacing w:after="80"/>
      </w:pPr>
      <w:r>
        <w:rPr>
          <w:rFonts w:ascii="Calibri" w:cs="Calibri" w:eastAsia="Calibri" w:hAnsi="Calibri"/>
          <w:sz w:val="22"/>
          <w:szCs w:val="22"/>
        </w:rPr>
        <w:t xml:space="preserve">Advies en HR. Sterk in klantgesprek, wisselend in fiscaal en actuarieel inzicht. Zij lopen risico bij de premiegrenzen in deel 11.</w:t>
      </w:r>
    </w:p>
    <w:p>
      <w:pPr>
        <w:pStyle w:val="ListParagraph"/>
        <w:numPr>
          <w:ilvl w:val="0"/>
          <w:numId w:val="1"/>
        </w:numPr>
        <w:spacing w:after="80"/>
      </w:pPr>
      <w:r>
        <w:rPr>
          <w:rFonts w:ascii="Calibri" w:cs="Calibri" w:eastAsia="Calibri" w:hAnsi="Calibri"/>
          <w:sz w:val="22"/>
          <w:szCs w:val="22"/>
        </w:rPr>
        <w:t xml:space="preserve">Beleid, bestuur, architectuur. Sterk in abstractie, soms onhandig met de concrete regeling. Zij hebben de meeste baat bij de casuslijn.</w:t>
      </w:r>
    </w:p>
    <w:p>
      <w:pPr>
        <w:spacing w:after="140" w:line="300"/>
      </w:pPr>
      <w:r>
        <w:rPr>
          <w:rFonts w:ascii="Calibri" w:cs="Calibri" w:eastAsia="Calibri" w:hAnsi="Calibri"/>
          <w:b w:val="false"/>
          <w:bCs w:val="false"/>
          <w:i w:val="false"/>
          <w:iCs w:val="false"/>
          <w:sz w:val="22"/>
          <w:szCs w:val="22"/>
        </w:rPr>
        <w:t xml:space="preserve">Vraag in de introductieronde niet alleen naar functie maar naar “de laatste pensioenvraag die je niet kon beantwoorden”. Dat levert je materiaal voor de hele cursus.</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besteden we tijd aan fondsen als ik bij een verzekeraar werk?”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Omdat je klanten uit de fondsenwereld komen of ernaartoe gaan, omdat vrijstelling van een bpf een verzekerde regeling mogelijk maakt (deel 4), en omdat de verschillen in transitieregime alleen te begrijpen zijn als je beide kent. Wie alleen zijn eigen wereld kent, ziet niet welke vragen hij mist.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de deadline van 1 januari 2028 nog haalbaar?”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Geef geen voorspelling. Feitelijk: de verlenging is aangenomen, de deadline is wettelijk, en er zit een aanzienlijk deel van de verzekerde contracten nog in de wachtrij. Wat het voor een individuele werkgever betekent, hangt af van zijn eigen planning — dat is precies de reden dat deel 15 twee dagdelen krijgt.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“Mogen deelnemers bezwaar maken tegen invaren?”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Bewaar dit voor deel 16. Kort antwoord voor nu: bij fondsen kent de wet geen individueel bezwaarrecht tegen het invaarbesluit zelf, bij een collectieve waardeoverdracht in de verzekerde wereld werkt dat anders. Dat verschil is een van de kernpunten van deze cursus; het hier al uitleggen kost je de opbouw.</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Flap met het drieluik, blijft de hele cursus hangen</w:t>
      </w:r>
    </w:p>
    <w:p>
      <w:pPr>
        <w:pStyle w:val="ListParagraph"/>
        <w:numPr>
          <w:ilvl w:val="0"/>
          <w:numId w:val="1"/>
        </w:numPr>
        <w:spacing w:after="80"/>
      </w:pPr>
      <w:r>
        <w:rPr>
          <w:rFonts w:ascii="Calibri" w:cs="Calibri" w:eastAsia="Calibri" w:hAnsi="Calibri"/>
          <w:sz w:val="22"/>
          <w:szCs w:val="22"/>
        </w:rPr>
        <w:t xml:space="preserve">Flap “Deel 5-7” voor geparkeerde vragen</w:t>
      </w:r>
    </w:p>
    <w:p>
      <w:pPr>
        <w:pStyle w:val="ListParagraph"/>
        <w:numPr>
          <w:ilvl w:val="0"/>
          <w:numId w:val="1"/>
        </w:numPr>
        <w:spacing w:after="80"/>
      </w:pPr>
      <w:r>
        <w:rPr>
          <w:rFonts w:ascii="Calibri" w:cs="Calibri" w:eastAsia="Calibri" w:hAnsi="Calibri"/>
          <w:sz w:val="22"/>
          <w:szCs w:val="22"/>
        </w:rPr>
        <w:t xml:space="preserve">Uitgeprinte casusbeschrijving (reader 1.9), één per deelnemer</w:t>
      </w:r>
    </w:p>
    <w:p>
      <w:pPr>
        <w:pStyle w:val="ListParagraph"/>
        <w:numPr>
          <w:ilvl w:val="0"/>
          <w:numId w:val="1"/>
        </w:numPr>
        <w:spacing w:after="80"/>
      </w:pPr>
      <w:r>
        <w:rPr>
          <w:rFonts w:ascii="Calibri" w:cs="Calibri" w:eastAsia="Calibri" w:hAnsi="Calibri"/>
          <w:sz w:val="22"/>
          <w:szCs w:val="22"/>
        </w:rPr>
        <w:t xml:space="preserve">Actuele bedragen gecontroleerd en ingevuld op de plaatsen met [BEDRAG-JAAR]</w:t>
      </w:r>
    </w:p>
    <w:p>
      <w:pPr>
        <w:pStyle w:val="ListParagraph"/>
        <w:numPr>
          <w:ilvl w:val="0"/>
          <w:numId w:val="1"/>
        </w:numPr>
        <w:spacing w:after="80"/>
      </w:pPr>
      <w:r>
        <w:rPr>
          <w:rFonts w:ascii="Calibri" w:cs="Calibri" w:eastAsia="Calibri" w:hAnsi="Calibri"/>
          <w:sz w:val="22"/>
          <w:szCs w:val="22"/>
        </w:rPr>
        <w:t xml:space="preserve">Controleer vóór de sessie of er nieuwe ontwikkelingen zijn rond de transitiedatum en de mijlpalen; dit vakgebied verandert tijdens de looptijd van een cursusjaar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1.7 en 1.8. Zonder 1.8 verliest deel 2 de helft van zijn werking, want daar bouwen deelnemers de driehoek onder hun eigen regeling.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2026-08-17T11:22:43.097Z</dcterms:created>
  <dcterms:modified xsi:type="dcterms:W3CDTF">2026-08-17T11:22:43.097Z</dcterms:modified>
</cp:coreProperties>
</file>

<file path=docProps/custom.xml><?xml version="1.0" encoding="utf-8"?>
<Properties xmlns="http://schemas.openxmlformats.org/officeDocument/2006/custom-properties" xmlns:vt="http://schemas.openxmlformats.org/officeDocument/2006/docPropsVTypes"/>
</file>