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Werkwijze: maak de opdrachten eerst zelfstandig, vergelijk daarna met de uitwerking. Bij opdrachten met een sterretje (*) is er geen enkel goed antwoord; de uitwerking geeft de beoordelingslijn.</w:t>
      </w:r>
    </w:p>
    <w:p>
      <w:pPr>
        <w:spacing w:after="100"/>
      </w:pPr>
    </w:p>
    <w:p>
      <w:pPr>
        <w:pStyle w:val="Heading2"/>
        <w:spacing w:after="120" w:before="200"/>
      </w:pPr>
      <w:r>
        <w:rPr>
          <w:rFonts w:ascii="Georgia" w:cs="Georgia" w:eastAsia="Georgia" w:hAnsi="Georgia"/>
          <w:b/>
          <w:bCs/>
          <w:color w:val="2563A8"/>
          <w:sz w:val="28"/>
          <w:szCs w:val="28"/>
        </w:rPr>
        <w:t xml:space="preserve">Opdracht 1.1 — Nulmeting pensioenkennis *</w:t>
      </w:r>
    </w:p>
    <w:p>
      <w:pPr>
        <w:spacing w:after="140" w:line="300"/>
      </w:pPr>
      <w:r>
        <w:rPr>
          <w:rFonts w:ascii="Calibri" w:cs="Calibri" w:eastAsia="Calibri" w:hAnsi="Calibri"/>
          <w:b w:val="false"/>
          <w:bCs w:val="false"/>
          <w:i w:val="false"/>
          <w:iCs w:val="false"/>
          <w:sz w:val="22"/>
          <w:szCs w:val="22"/>
        </w:rPr>
        <w:t xml:space="preserve">Beantwoord in maximaal vijf regels, zonder op te zoeken:</w:t>
      </w:r>
    </w:p>
    <w:p>
      <w:pPr>
        <w:spacing w:after="140" w:line="300"/>
      </w:pPr>
      <w:r>
        <w:rPr>
          <w:rFonts w:ascii="Calibri" w:cs="Calibri" w:eastAsia="Calibri" w:hAnsi="Calibri"/>
          <w:b w:val="false"/>
          <w:bCs w:val="false"/>
          <w:i w:val="false"/>
          <w:iCs w:val="false"/>
          <w:sz w:val="22"/>
          <w:szCs w:val="22"/>
        </w:rPr>
        <w:t xml:space="preserve">a. Wat gebeurt er met mijn AOW als mijn pensioenfonds overgaat naar het nieuwe stelsel?</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Wie bepaalt hoeveel pensioenpremie er wordt betaald?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Wie draagt het risico als de beleggingen tegenvallen?</w:t>
      </w:r>
    </w:p>
    <w:p>
      <w:pPr>
        <w:spacing w:after="140" w:line="300"/>
      </w:pPr>
      <w:r>
        <w:rPr>
          <w:rFonts w:ascii="Calibri" w:cs="Calibri" w:eastAsia="Calibri" w:hAnsi="Calibri"/>
          <w:b w:val="false"/>
          <w:bCs w:val="false"/>
          <w:i w:val="false"/>
          <w:iCs w:val="false"/>
          <w:sz w:val="22"/>
          <w:szCs w:val="22"/>
        </w:rPr>
        <w:t xml:space="preserve">Bewaar je antwoorden. In deel 10 herhaal je deze nulmeting en vergelijk je.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(beoordelingslijn). Correcte kern: (a) niets — de AOW staat los van de tweede pijler; (b) dat hangt af van de laag: bij een bpf de sociale partners in de cao, bij een verzekerde regeling de werkgever, binnen fiscale grenzen; © onder de Wtp in beginsel de deelnemer, met demping via de solidariteits- of risicodelingsreserve, in de oude uitkeringsovereenkomst het collectief.</w:t>
            </w:r>
          </w:p>
        </w:tc>
      </w:tr>
    </w:tbl>
    <w:p>
      <w:pPr>
        <w:spacing w:after="140" w:line="300"/>
      </w:pPr>
      <w:r>
        <w:rPr>
          <w:rFonts w:ascii="Calibri" w:cs="Calibri" w:eastAsia="Calibri" w:hAnsi="Calibri"/>
          <w:b w:val="false"/>
          <w:bCs w:val="false"/>
          <w:i w:val="false"/>
          <w:iCs w:val="false"/>
          <w:sz w:val="22"/>
          <w:szCs w:val="22"/>
        </w:rPr>
        <w:t xml:space="preserve">Veelgemaakte fout bij (b): “de pensioenuitvoerder”. De uitvoerder voert uit, hij bepaalt de arbeidsvoorwaarde niet. Wie deze fout maakt, moet in deel 2 extra letten op de driehoek.</w:t>
      </w:r>
    </w:p>
    <w:p>
      <w:pPr>
        <w:spacing w:after="100"/>
      </w:pPr>
    </w:p>
    <w:p>
      <w:pPr>
        <w:pStyle w:val="Heading2"/>
        <w:spacing w:after="120" w:before="200"/>
      </w:pPr>
      <w:r>
        <w:rPr>
          <w:rFonts w:ascii="Georgia" w:cs="Georgia" w:eastAsia="Georgia" w:hAnsi="Georgia"/>
          <w:b/>
          <w:bCs/>
          <w:color w:val="2563A8"/>
          <w:sz w:val="28"/>
          <w:szCs w:val="28"/>
        </w:rPr>
        <w:t xml:space="preserve">Opdracht 1.2 — Pijlers herkennen</w:t>
      </w:r>
    </w:p>
    <w:p>
      <w:pPr>
        <w:spacing w:after="140" w:line="300"/>
      </w:pPr>
      <w:r>
        <w:rPr>
          <w:rFonts w:ascii="Calibri" w:cs="Calibri" w:eastAsia="Calibri" w:hAnsi="Calibri"/>
          <w:b w:val="false"/>
          <w:bCs w:val="false"/>
          <w:i w:val="false"/>
          <w:iCs w:val="false"/>
          <w:sz w:val="22"/>
          <w:szCs w:val="22"/>
        </w:rPr>
        <w:t xml:space="preserve">Plaats elk item in pijler 1, 2 of 3:</w:t>
      </w:r>
    </w:p>
    <w:p>
      <w:pPr>
        <w:pStyle w:val="ListParagraph"/>
        <w:numPr>
          <w:ilvl w:val="0"/>
          <w:numId w:val="1"/>
        </w:numPr>
        <w:spacing w:after="80"/>
      </w:pPr>
      <w:r>
        <w:rPr>
          <w:rFonts w:ascii="Calibri" w:cs="Calibri" w:eastAsia="Calibri" w:hAnsi="Calibri"/>
          <w:sz w:val="22"/>
          <w:szCs w:val="22"/>
        </w:rPr>
        <w:t xml:space="preserve">1. Lijfrentepolis van een zzp’er</w:t>
      </w:r>
    </w:p>
    <w:p>
      <w:pPr>
        <w:pStyle w:val="ListParagraph"/>
        <w:numPr>
          <w:ilvl w:val="0"/>
          <w:numId w:val="1"/>
        </w:numPr>
        <w:spacing w:after="80"/>
      </w:pPr>
      <w:r>
        <w:rPr>
          <w:rFonts w:ascii="Calibri" w:cs="Calibri" w:eastAsia="Calibri" w:hAnsi="Calibri"/>
          <w:sz w:val="22"/>
          <w:szCs w:val="22"/>
        </w:rPr>
        <w:t xml:space="preserve">2. Ouderdomspensioen via het bedrijfstakpensioenfonds</w:t>
      </w:r>
    </w:p>
    <w:p>
      <w:pPr>
        <w:pStyle w:val="ListParagraph"/>
        <w:numPr>
          <w:ilvl w:val="0"/>
          <w:numId w:val="1"/>
        </w:numPr>
        <w:spacing w:after="80"/>
      </w:pPr>
      <w:r>
        <w:rPr>
          <w:rFonts w:ascii="Calibri" w:cs="Calibri" w:eastAsia="Calibri" w:hAnsi="Calibri"/>
          <w:sz w:val="22"/>
          <w:szCs w:val="22"/>
        </w:rPr>
        <w:t xml:space="preserve">3. AOW-uitkering van de SVB</w:t>
      </w:r>
    </w:p>
    <w:p>
      <w:pPr>
        <w:pStyle w:val="ListParagraph"/>
        <w:numPr>
          <w:ilvl w:val="0"/>
          <w:numId w:val="1"/>
        </w:numPr>
        <w:spacing w:after="80"/>
      </w:pPr>
      <w:r>
        <w:rPr>
          <w:rFonts w:ascii="Calibri" w:cs="Calibri" w:eastAsia="Calibri" w:hAnsi="Calibri"/>
          <w:sz w:val="22"/>
          <w:szCs w:val="22"/>
        </w:rPr>
        <w:t xml:space="preserve">4. Nettopensioen boven de fiscale aftoppingsgrens</w:t>
      </w:r>
    </w:p>
    <w:p>
      <w:pPr>
        <w:pStyle w:val="ListParagraph"/>
        <w:numPr>
          <w:ilvl w:val="0"/>
          <w:numId w:val="1"/>
        </w:numPr>
        <w:spacing w:after="80"/>
      </w:pPr>
      <w:r>
        <w:rPr>
          <w:rFonts w:ascii="Calibri" w:cs="Calibri" w:eastAsia="Calibri" w:hAnsi="Calibri"/>
          <w:sz w:val="22"/>
          <w:szCs w:val="22"/>
        </w:rPr>
        <w:t xml:space="preserve">5. Banksparen voor de oude dag</w:t>
      </w:r>
    </w:p>
    <w:p>
      <w:pPr>
        <w:pStyle w:val="ListParagraph"/>
        <w:numPr>
          <w:ilvl w:val="0"/>
          <w:numId w:val="1"/>
        </w:numPr>
        <w:spacing w:after="80"/>
      </w:pPr>
      <w:r>
        <w:rPr>
          <w:rFonts w:ascii="Calibri" w:cs="Calibri" w:eastAsia="Calibri" w:hAnsi="Calibri"/>
          <w:sz w:val="22"/>
          <w:szCs w:val="22"/>
        </w:rPr>
        <w:t xml:space="preserve">6. Een beschikbarepremieregeling bij een PPI</w:t>
      </w:r>
    </w:p>
    <w:p>
      <w:pPr>
        <w:pStyle w:val="ListParagraph"/>
        <w:numPr>
          <w:ilvl w:val="0"/>
          <w:numId w:val="1"/>
        </w:numPr>
        <w:spacing w:after="80"/>
      </w:pPr>
      <w:r>
        <w:rPr>
          <w:rFonts w:ascii="Calibri" w:cs="Calibri" w:eastAsia="Calibri" w:hAnsi="Calibri"/>
          <w:sz w:val="22"/>
          <w:szCs w:val="22"/>
        </w:rPr>
        <w:t xml:space="preserve">7. Een eigen woning die vrij van hypotheek is bij pensionering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1: pijler 3. 2: pijler 2. 3: pijler 1. 4: pijler 2 (een vrijwillige regeling binnen de arbeidsvoorwaardelijke sfeer, uitgevoerd door de pensioenuitvoerder). 5: pijler 3. 6: pijler 2. 7: geen pijler — vermogen, maar geen pensioenvoorziening. Het onderscheid is geen semantiek: de fiscale behandeling, het toezichtkader en de mate van keuzevrijheid verschillen per pijler.</w:t>
            </w:r>
          </w:p>
        </w:tc>
      </w:tr>
    </w:tbl>
    <w:p>
      <w:pPr>
        <w:spacing w:after="100"/>
      </w:pPr>
    </w:p>
    <w:p>
      <w:pPr>
        <w:pStyle w:val="Heading2"/>
        <w:spacing w:after="120" w:before="200"/>
      </w:pPr>
      <w:r>
        <w:rPr>
          <w:rFonts w:ascii="Georgia" w:cs="Georgia" w:eastAsia="Georgia" w:hAnsi="Georgia"/>
          <w:b/>
          <w:bCs/>
          <w:color w:val="2563A8"/>
          <w:sz w:val="28"/>
          <w:szCs w:val="28"/>
        </w:rPr>
        <w:t xml:space="preserve">Opdracht 1.3 — Uitvoerders vergelijken</w:t>
      </w:r>
    </w:p>
    <w:p>
      <w:pPr>
        <w:spacing w:after="140" w:line="300"/>
      </w:pPr>
      <w:r>
        <w:rPr>
          <w:rFonts w:ascii="Calibri" w:cs="Calibri" w:eastAsia="Calibri" w:hAnsi="Calibri"/>
          <w:b w:val="false"/>
          <w:bCs w:val="false"/>
          <w:i w:val="false"/>
          <w:iCs w:val="false"/>
          <w:sz w:val="22"/>
          <w:szCs w:val="22"/>
        </w:rPr>
        <w:t xml:space="preserve">Vul de tabel in vanuit je geheugen; controleer daarna met paragraaf 1.5 van de reader.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Vraag</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Fonds</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Verzekeraar</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PPI</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Mag verzekeringstechnisch risico dragen?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Werkt met een contract voor bepaalde tijd?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Kan de uitkeringsfase zelf verzorgen?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Heeft een winstoogmerk?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Risico dragen: fonds ja (collectief), verzekeraar ja (contractueel, tegen premie), PPI nee (herverzekeren verplicht), APF ja per kring. Bepaalde tijd: alleen verzekeraar en PPI. Uitkeringsfase zelf: fonds ja, verzekeraar ja, PPI nee, APF ja. Winstoogmerk: alleen verzekeraar en PPI.</w:t>
            </w:r>
          </w:p>
        </w:tc>
      </w:tr>
    </w:tbl>
    <w:p>
      <w:pPr>
        <w:spacing w:after="140" w:line="300"/>
      </w:pPr>
      <w:r>
        <w:rPr>
          <w:rFonts w:ascii="Calibri" w:cs="Calibri" w:eastAsia="Calibri" w:hAnsi="Calibri"/>
          <w:b w:val="false"/>
          <w:bCs w:val="false"/>
          <w:i w:val="false"/>
          <w:iCs w:val="false"/>
          <w:sz w:val="22"/>
          <w:szCs w:val="22"/>
        </w:rPr>
        <w:t xml:space="preserve">De rij “bepaalde tijd” verklaart een groot deel van het verschil in transitiegedrag: een verzekerd contract kent een natuurlijk heronderhandelingsmoment, een fonds niet.</w:t>
      </w:r>
    </w:p>
    <w:p>
      <w:pPr>
        <w:spacing w:after="100"/>
      </w:pPr>
    </w:p>
    <w:p>
      <w:pPr>
        <w:pStyle w:val="Heading2"/>
        <w:spacing w:after="120" w:before="200"/>
      </w:pPr>
      <w:r>
        <w:rPr>
          <w:rFonts w:ascii="Georgia" w:cs="Georgia" w:eastAsia="Georgia" w:hAnsi="Georgia"/>
          <w:b/>
          <w:bCs/>
          <w:color w:val="2563A8"/>
          <w:sz w:val="28"/>
          <w:szCs w:val="28"/>
        </w:rPr>
        <w:t xml:space="preserve">Opdracht 1.4 — Het drieluik toepassen</w:t>
      </w:r>
    </w:p>
    <w:p>
      <w:pPr>
        <w:spacing w:after="140" w:line="300"/>
      </w:pPr>
      <w:r>
        <w:rPr>
          <w:rFonts w:ascii="Calibri" w:cs="Calibri" w:eastAsia="Calibri" w:hAnsi="Calibri"/>
          <w:b w:val="false"/>
          <w:bCs w:val="false"/>
          <w:i w:val="false"/>
          <w:iCs w:val="false"/>
          <w:sz w:val="22"/>
          <w:szCs w:val="22"/>
        </w:rPr>
        <w:t xml:space="preserve">Pas het drieluik (wie belooft wat / wie voert uit / wie draagt het risico) toe op:</w:t>
      </w:r>
    </w:p>
    <w:p>
      <w:pPr>
        <w:spacing w:after="140" w:line="300"/>
      </w:pPr>
      <w:r>
        <w:rPr>
          <w:rFonts w:ascii="Calibri" w:cs="Calibri" w:eastAsia="Calibri" w:hAnsi="Calibri"/>
          <w:b w:val="false"/>
          <w:bCs w:val="false"/>
          <w:i w:val="false"/>
          <w:iCs w:val="false"/>
          <w:sz w:val="22"/>
          <w:szCs w:val="22"/>
        </w:rPr>
        <w:t xml:space="preserve">a. Een middelloonregeling bij Bpf T&amp;I, zoals die tot en met 2026 gold.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De progressieve premieregeling van Van Doorn Techniek bij Meridiaan Pensioen.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solidaire premieregeling bij Bpf T&amp;I vanaf 1 januari 2027.</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Belooft: de sociale partners beloven, via de cao, een jaarlijkse opbouw in euro’s (voorwaardelijk geïndexeerd). Voert uit: Bpf T&amp;I. Risico: het collectief van deelnemers, gepensioneerden en slapers samen; bij tegenvallers wordt niet geïndexeerd of gekort. De werkgever staat op afstand: hij betaalt premie, geen bijstortverplichting bij een bpf.</w:t>
      </w:r>
    </w:p>
    <w:p>
      <w:pPr>
        <w:spacing w:after="140" w:line="300"/>
      </w:pPr>
      <w:r>
        <w:rPr>
          <w:rFonts w:ascii="Calibri" w:cs="Calibri" w:eastAsia="Calibri" w:hAnsi="Calibri"/>
          <w:b w:val="false"/>
          <w:bCs w:val="false"/>
          <w:i w:val="false"/>
          <w:iCs w:val="false"/>
          <w:sz w:val="22"/>
          <w:szCs w:val="22"/>
        </w:rPr>
        <w:t xml:space="preserve">b. Belooft: de werkgever belooft een premie-inleg volgens staffel, geen uitkomst. Voert uit: Meridiaan. Risico: het beleggingsrisico ligt bij de deelnemer; overlijdens- en arbeidsongeschiktheidsrisico bij Meridiaan, tegen premie; het premieniveaurisico (stijgende staffellast bij vergrijzing) ligt bij de werkgever.</w:t>
      </w:r>
    </w:p>
    <w:p>
      <w:pPr>
        <w:spacing w:after="140" w:line="300"/>
      </w:pPr>
      <w:r>
        <w:rPr>
          <w:rFonts w:ascii="Calibri" w:cs="Calibri" w:eastAsia="Calibri" w:hAnsi="Calibri"/>
          <w:b w:val="false"/>
          <w:bCs w:val="false"/>
          <w:i w:val="false"/>
          <w:iCs w:val="false"/>
          <w:sz w:val="22"/>
          <w:szCs w:val="22"/>
        </w:rPr>
        <w:t xml:space="preserve">c. Belooft: een vlakke premie-inleg. Voert uit: Bpf T&amp;I. Risico: de deelnemer, met demping via toedelingsregels en de solidariteitsreserve.</w:t>
      </w:r>
    </w:p>
    <w:p>
      <w:pPr>
        <w:spacing w:after="140" w:line="300"/>
      </w:pPr>
      <w:r>
        <w:rPr>
          <w:rFonts w:ascii="Calibri" w:cs="Calibri" w:eastAsia="Calibri" w:hAnsi="Calibri"/>
          <w:b w:val="false"/>
          <w:bCs w:val="false"/>
          <w:i w:val="false"/>
          <w:iCs w:val="false"/>
          <w:sz w:val="22"/>
          <w:szCs w:val="22"/>
        </w:rPr>
        <w:t xml:space="preserve">Kernobservatie: tussen (a) en © verschuift het risico van collectief naar individueel; tussen (b) en © verschuift vooral wie de leeftijdsopbouw betaalt.</w:t>
      </w:r>
    </w:p>
    <w:p>
      <w:pPr>
        <w:spacing w:after="100"/>
      </w:pPr>
    </w:p>
    <w:p>
      <w:pPr>
        <w:pStyle w:val="Heading2"/>
        <w:spacing w:after="120" w:before="200"/>
      </w:pPr>
      <w:r>
        <w:rPr>
          <w:rFonts w:ascii="Georgia" w:cs="Georgia" w:eastAsia="Georgia" w:hAnsi="Georgia"/>
          <w:b/>
          <w:bCs/>
          <w:color w:val="2563A8"/>
          <w:sz w:val="28"/>
          <w:szCs w:val="28"/>
        </w:rPr>
        <w:t xml:space="preserve">Opdracht 1.5 — De vier analysevragen</w:t>
      </w:r>
    </w:p>
    <w:p>
      <w:pPr>
        <w:spacing w:after="140" w:line="300"/>
      </w:pPr>
      <w:r>
        <w:rPr>
          <w:rFonts w:ascii="Calibri" w:cs="Calibri" w:eastAsia="Calibri" w:hAnsi="Calibri"/>
          <w:b w:val="false"/>
          <w:bCs w:val="false"/>
          <w:i w:val="false"/>
          <w:iCs w:val="false"/>
          <w:sz w:val="22"/>
          <w:szCs w:val="22"/>
        </w:rPr>
        <w:t xml:space="preserve">Beantwoord voor elk van de volgende regelingen de vier vragen uit paragraaf 1.10. Waar je informatie mist, benoem je expliciet welke informatie je nodig hebt.</w:t>
      </w:r>
    </w:p>
    <w:p>
      <w:pPr>
        <w:spacing w:after="140" w:line="300"/>
      </w:pPr>
      <w:r>
        <w:rPr>
          <w:rFonts w:ascii="Calibri" w:cs="Calibri" w:eastAsia="Calibri" w:hAnsi="Calibri"/>
          <w:b w:val="false"/>
          <w:bCs w:val="false"/>
          <w:i w:val="false"/>
          <w:iCs w:val="false"/>
          <w:sz w:val="22"/>
          <w:szCs w:val="22"/>
        </w:rPr>
        <w:t xml:space="preserve">a. Van Doorn Techniek: premieovereenkomst bij Meridiaan met een staffel van 8% (21-24 jaar) oplopend tot 26% (65+), ingegaan in 2016, ongewijzigd.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Delta Chemie: middelloonregeling bij het eigen ondernemingspensioenfonds, opbouw 1,738%, per 2025 gesloten voor nieuwe deelnemers.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IT-bedrijf met 40 medewerkers: premieovereenkomst bij een PPI, 12% van de pensioengrondslag voor alle leeftijden, ingegaan per 1 januari 2025.</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(1) Premieovereenkomst, progressief. (2) Verzekeraar. (3) Niet Wtp-conform: leeftijdsafhankelijke premie. (4) Mogelijk eerbiedigende werking voor de bestaande deelnemers, maar alleen als aan de voorwaarden wordt voldaan — deel 6. Ontbrekende informatie: bestond de regeling al op 30 juni 2023, wordt zij vóór 1 januari 2028 gesloten voor nieuwe deelnemers, en wat is er in het transitieplan vastgelegd?</w:t>
      </w:r>
    </w:p>
    <w:p>
      <w:pPr>
        <w:spacing w:after="140" w:line="300"/>
      </w:pPr>
      <w:r>
        <w:rPr>
          <w:rFonts w:ascii="Calibri" w:cs="Calibri" w:eastAsia="Calibri" w:hAnsi="Calibri"/>
          <w:b w:val="false"/>
          <w:bCs w:val="false"/>
          <w:i w:val="false"/>
          <w:iCs w:val="false"/>
          <w:sz w:val="22"/>
          <w:szCs w:val="22"/>
        </w:rPr>
        <w:t xml:space="preserve">b. (1) Uitkeringsovereenkomst. (2) Ondernemingspensioenfonds. (3) Niet Wtp-conform. (4) Er is voor uitkeringsovereenkomsten géén eerbiedigende werking voor nieuwe opbouw: uiterlijk per 1 januari 2028 moet de opbouw in deze vorm zijn beëindigd. Ontbrekende informatie: wat gebeurt er met de bestaande aanspraken — invaren, premievrij laten of overdragen? Dat is een apart besluit.</w:t>
      </w:r>
    </w:p>
    <w:p>
      <w:pPr>
        <w:spacing w:after="140" w:line="300"/>
      </w:pPr>
      <w:r>
        <w:rPr>
          <w:rFonts w:ascii="Calibri" w:cs="Calibri" w:eastAsia="Calibri" w:hAnsi="Calibri"/>
          <w:b w:val="false"/>
          <w:bCs w:val="false"/>
          <w:i w:val="false"/>
          <w:iCs w:val="false"/>
          <w:sz w:val="22"/>
          <w:szCs w:val="22"/>
        </w:rPr>
        <w:t xml:space="preserve">c. (1) Premieovereenkomst, vlak. (2) PPI. (3) Vermoedelijk Wtp-conform. (4) Niet van toepassing. Ontbrekende informatie: valt de premie binnen de fiscale premiegrens, en voldoet het nabestaandenpensioen aan het nieuwe kader? “Vlakke premie” alleen is niet genoeg om conformiteit vast te stellen.</w:t>
      </w:r>
    </w:p>
    <w:p>
      <w:pPr>
        <w:spacing w:after="140" w:line="300"/>
      </w:pPr>
      <w:r>
        <w:rPr>
          <w:rFonts w:ascii="Calibri" w:cs="Calibri" w:eastAsia="Calibri" w:hAnsi="Calibri"/>
          <w:b w:val="false"/>
          <w:bCs w:val="false"/>
          <w:i w:val="false"/>
          <w:iCs w:val="false"/>
          <w:sz w:val="22"/>
          <w:szCs w:val="22"/>
        </w:rPr>
        <w:t xml:space="preserve">Let op het patroon: bij (a) en (b) is het antwoord op vraag 3 hetzelfde (“nee”), maar het antwoord op vraag 4 verschilt fundamenteel. Dat verschil — fonds versus verzekerde regeling, uitkering versus premie — is de rode draad van deze cursus.</w:t>
      </w:r>
    </w:p>
    <w:p>
      <w:pPr>
        <w:spacing w:after="100"/>
      </w:pPr>
    </w:p>
    <w:p>
      <w:pPr>
        <w:pStyle w:val="Heading2"/>
        <w:spacing w:after="120" w:before="200"/>
      </w:pPr>
      <w:r>
        <w:rPr>
          <w:rFonts w:ascii="Georgia" w:cs="Georgia" w:eastAsia="Georgia" w:hAnsi="Georgia"/>
          <w:b/>
          <w:bCs/>
          <w:color w:val="2563A8"/>
          <w:sz w:val="28"/>
          <w:szCs w:val="28"/>
        </w:rPr>
        <w:t xml:space="preserve">Opdracht 1.6 — Karel en Yasmin *</w:t>
      </w:r>
    </w:p>
    <w:p>
      <w:pPr>
        <w:spacing w:after="140" w:line="300"/>
      </w:pPr>
      <w:r>
        <w:rPr>
          <w:rFonts w:ascii="Calibri" w:cs="Calibri" w:eastAsia="Calibri" w:hAnsi="Calibri"/>
          <w:b w:val="false"/>
          <w:bCs w:val="false"/>
          <w:i w:val="false"/>
          <w:iCs w:val="false"/>
          <w:sz w:val="22"/>
          <w:szCs w:val="22"/>
        </w:rPr>
        <w:t xml:space="preserve">Van Doorn Techniek stapt op 1 januari 2027 over op een vlakke premie van 15%. Karel (58) zat in de staffelklasse 24%; Yasmin (26) in de klasse 9%.</w:t>
      </w:r>
    </w:p>
    <w:p>
      <w:pPr>
        <w:spacing w:after="140" w:line="300"/>
      </w:pPr>
      <w:r>
        <w:rPr>
          <w:rFonts w:ascii="Calibri" w:cs="Calibri" w:eastAsia="Calibri" w:hAnsi="Calibri"/>
          <w:b w:val="false"/>
          <w:bCs w:val="false"/>
          <w:i w:val="false"/>
          <w:iCs w:val="false"/>
          <w:sz w:val="22"/>
          <w:szCs w:val="22"/>
        </w:rPr>
        <w:t xml:space="preserve">a. Wie gaat erop vooruit en wie erop achteruit, uitsluitend kijkend naar de premie-inleg?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Welke informatie heb je nog nodig om te beoordelen of Karel daadwerkelijk </w:t>
      </w:r>
      <w:r>
        <w:rPr>
          <w:rFonts w:ascii="Calibri" w:cs="Calibri" w:eastAsia="Calibri" w:hAnsi="Calibri"/>
          <w:b w:val="false"/>
          <w:bCs w:val="false"/>
          <w:i/>
          <w:iCs/>
          <w:sz w:val="22"/>
          <w:szCs w:val="22"/>
        </w:rPr>
        <w:t xml:space="preserve">slechter af</w:t>
      </w:r>
      <w:r>
        <w:rPr>
          <w:rFonts w:ascii="Calibri" w:cs="Calibri" w:eastAsia="Calibri" w:hAnsi="Calibri"/>
          <w:b w:val="false"/>
          <w:bCs w:val="false"/>
          <w:i w:val="false"/>
          <w:iCs w:val="false"/>
          <w:sz w:val="22"/>
          <w:szCs w:val="22"/>
        </w:rPr>
        <w:t xml:space="preserve"> is?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Wie zou het verschil moeten betalen, en waarom?</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Yasmin gaat vooruit (9% → 15%), Karel achteruit (24% → 15%).</w:t>
      </w:r>
    </w:p>
    <w:p>
      <w:pPr>
        <w:spacing w:after="140" w:line="300"/>
      </w:pPr>
      <w:r>
        <w:rPr>
          <w:rFonts w:ascii="Calibri" w:cs="Calibri" w:eastAsia="Calibri" w:hAnsi="Calibri"/>
          <w:b w:val="false"/>
          <w:bCs w:val="false"/>
          <w:i w:val="false"/>
          <w:iCs w:val="false"/>
          <w:sz w:val="22"/>
          <w:szCs w:val="22"/>
        </w:rPr>
        <w:t xml:space="preserve">b. Minimaal: het aantal jaren tot pensionering, het verwachte rendement over die jaren, wat er met zijn reeds opgebouwde kapitaal gebeurt, of er compensatie wordt geboden en in welke vorm, en of andere arbeidsvoorwaarden meebewegen. Een premievergelijking in één jaar zegt weinig over het eindresultaat; wie op dat niveau blijft steken, geeft misleidend advies. Dit komt terug in deel 7 en volledig in deel 24.</w:t>
      </w:r>
    </w:p>
    <w:p>
      <w:pPr>
        <w:spacing w:after="140" w:line="300"/>
      </w:pPr>
      <w:r>
        <w:rPr>
          <w:rFonts w:ascii="Calibri" w:cs="Calibri" w:eastAsia="Calibri" w:hAnsi="Calibri"/>
          <w:b w:val="false"/>
          <w:bCs w:val="false"/>
          <w:i w:val="false"/>
          <w:iCs w:val="false"/>
          <w:sz w:val="22"/>
          <w:szCs w:val="22"/>
        </w:rPr>
        <w:t xml:space="preserve">c. Beoordelingslijn: er is geen juridisch dwingend antwoord dat de werkgever moet compenseren — compensatie is een onderhandelingsuitkomst die in het transitieplan wordt vastgelegd, met fiscale ruimte tot uiterlijk 1 januari 2037. Sterke antwoorden benoemen de drie mogelijke dragers (werkgever via extra premie, het collectief via de regeling zelf, de deelnemer zelf) en koppelen de keuze aan evenwichtigheid en aan de instemmingsrol van de OR.</w:t>
      </w:r>
    </w:p>
    <w:p>
      <w:pPr>
        <w:spacing w:after="100"/>
      </w:pPr>
    </w:p>
    <w:p>
      <w:pPr>
        <w:pStyle w:val="Heading2"/>
        <w:spacing w:after="120" w:before="200"/>
      </w:pPr>
      <w:r>
        <w:rPr>
          <w:rFonts w:ascii="Georgia" w:cs="Georgia" w:eastAsia="Georgia" w:hAnsi="Georgia"/>
          <w:b/>
          <w:bCs/>
          <w:color w:val="2563A8"/>
          <w:sz w:val="28"/>
          <w:szCs w:val="28"/>
        </w:rPr>
        <w:t xml:space="preserve">Opdracht 1.7 — Misverstanden ontzenuwen</w:t>
      </w:r>
    </w:p>
    <w:p>
      <w:pPr>
        <w:spacing w:after="140" w:line="300"/>
      </w:pPr>
      <w:r>
        <w:rPr>
          <w:rFonts w:ascii="Calibri" w:cs="Calibri" w:eastAsia="Calibri" w:hAnsi="Calibri"/>
          <w:b w:val="false"/>
          <w:bCs w:val="false"/>
          <w:i w:val="false"/>
          <w:iCs w:val="false"/>
          <w:sz w:val="22"/>
          <w:szCs w:val="22"/>
        </w:rPr>
        <w:t xml:space="preserve">Formuleer voor elk misverstand een correctie van maximaal twee zinnen, in taal die een monteur van 58 begrijpt.</w:t>
      </w:r>
    </w:p>
    <w:p>
      <w:pPr>
        <w:pStyle w:val="ListParagraph"/>
        <w:numPr>
          <w:ilvl w:val="0"/>
          <w:numId w:val="1"/>
        </w:numPr>
        <w:spacing w:after="80"/>
      </w:pPr>
      <w:r>
        <w:rPr>
          <w:rFonts w:ascii="Calibri" w:cs="Calibri" w:eastAsia="Calibri" w:hAnsi="Calibri"/>
          <w:sz w:val="22"/>
          <w:szCs w:val="22"/>
        </w:rPr>
        <w:t xml:space="preserve">1. “Door die nieuwe pensioenwet gaat mijn AOW omlaag.”</w:t>
      </w:r>
    </w:p>
    <w:p>
      <w:pPr>
        <w:pStyle w:val="ListParagraph"/>
        <w:numPr>
          <w:ilvl w:val="0"/>
          <w:numId w:val="1"/>
        </w:numPr>
        <w:spacing w:after="80"/>
      </w:pPr>
      <w:r>
        <w:rPr>
          <w:rFonts w:ascii="Calibri" w:cs="Calibri" w:eastAsia="Calibri" w:hAnsi="Calibri"/>
          <w:sz w:val="22"/>
          <w:szCs w:val="22"/>
        </w:rPr>
        <w:t xml:space="preserve">2. “Straks is mijn pensioen niet meer zeker.”</w:t>
      </w:r>
    </w:p>
    <w:p>
      <w:pPr>
        <w:pStyle w:val="ListParagraph"/>
        <w:numPr>
          <w:ilvl w:val="0"/>
          <w:numId w:val="1"/>
        </w:numPr>
        <w:spacing w:after="80"/>
      </w:pPr>
      <w:r>
        <w:rPr>
          <w:rFonts w:ascii="Calibri" w:cs="Calibri" w:eastAsia="Calibri" w:hAnsi="Calibri"/>
          <w:sz w:val="22"/>
          <w:szCs w:val="22"/>
        </w:rPr>
        <w:t xml:space="preserve">3. “De werkgever is van zijn pensioenverplichting af.”</w:t>
      </w:r>
    </w:p>
    <w:p>
      <w:pPr>
        <w:pStyle w:val="ListParagraph"/>
        <w:numPr>
          <w:ilvl w:val="0"/>
          <w:numId w:val="1"/>
        </w:numPr>
        <w:spacing w:after="80"/>
      </w:pPr>
      <w:r>
        <w:rPr>
          <w:rFonts w:ascii="Calibri" w:cs="Calibri" w:eastAsia="Calibri" w:hAnsi="Calibri"/>
          <w:sz w:val="22"/>
          <w:szCs w:val="22"/>
        </w:rPr>
        <w:t xml:space="preserve">4. “Bij een verzekeraar is mijn pensioen veiliger dan bij een fonds.”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(voorbeelden).</w:t>
            </w:r>
          </w:p>
        </w:tc>
      </w:tr>
    </w:tbl>
    <w:p>
      <w:pPr>
        <w:pStyle w:val="ListParagraph"/>
        <w:numPr>
          <w:ilvl w:val="0"/>
          <w:numId w:val="1"/>
        </w:numPr>
        <w:spacing w:after="80"/>
      </w:pPr>
      <w:r>
        <w:rPr>
          <w:rFonts w:ascii="Calibri" w:cs="Calibri" w:eastAsia="Calibri" w:hAnsi="Calibri"/>
          <w:sz w:val="22"/>
          <w:szCs w:val="22"/>
        </w:rPr>
        <w:t xml:space="preserve">1. De AOW komt van de overheid en verandert niet door deze wet. Alleen het pensioen dat je via je werk opbouwt, verandert.</w:t>
      </w:r>
    </w:p>
    <w:p>
      <w:pPr>
        <w:pStyle w:val="ListParagraph"/>
        <w:numPr>
          <w:ilvl w:val="0"/>
          <w:numId w:val="1"/>
        </w:numPr>
        <w:spacing w:after="80"/>
      </w:pPr>
      <w:r>
        <w:rPr>
          <w:rFonts w:ascii="Calibri" w:cs="Calibri" w:eastAsia="Calibri" w:hAnsi="Calibri"/>
          <w:sz w:val="22"/>
          <w:szCs w:val="22"/>
        </w:rPr>
        <w:t xml:space="preserve">2. Ook in het oude stelsel was je pensioen niet gegarandeerd — er is jarenlang niet geïndexeerd en soms gekort. Nieuw is dat je nu ziet welk bedrag van jou is en hoe het meebeweegt.</w:t>
      </w:r>
    </w:p>
    <w:p>
      <w:pPr>
        <w:pStyle w:val="ListParagraph"/>
        <w:numPr>
          <w:ilvl w:val="0"/>
          <w:numId w:val="1"/>
        </w:numPr>
        <w:spacing w:after="80"/>
      </w:pPr>
      <w:r>
        <w:rPr>
          <w:rFonts w:ascii="Calibri" w:cs="Calibri" w:eastAsia="Calibri" w:hAnsi="Calibri"/>
          <w:sz w:val="22"/>
          <w:szCs w:val="22"/>
        </w:rPr>
        <w:t xml:space="preserve">3. Nee. De werkgever moet de toezegging blijven onderbrengen en premie betalen; wat verandert is de vorm van de toezegging.</w:t>
      </w:r>
    </w:p>
    <w:p>
      <w:pPr>
        <w:pStyle w:val="ListParagraph"/>
        <w:numPr>
          <w:ilvl w:val="0"/>
          <w:numId w:val="1"/>
        </w:numPr>
        <w:spacing w:after="80"/>
      </w:pPr>
      <w:r>
        <w:rPr>
          <w:rFonts w:ascii="Calibri" w:cs="Calibri" w:eastAsia="Calibri" w:hAnsi="Calibri"/>
          <w:sz w:val="22"/>
          <w:szCs w:val="22"/>
        </w:rPr>
        <w:t xml:space="preserve">4. Anders, niet per se veiliger. Een verzekeraar heeft kapitaaleisen en kan garanties bieden tegen een prijs; een fonds vangt schokken collectief op. Welke vorm beter uitpakt, hangt af van de regeling, niet van het type uitvoerder.</w:t>
      </w:r>
    </w:p>
    <w:p>
      <w:pPr>
        <w:spacing w:after="140" w:line="300"/>
      </w:pPr>
      <w:r>
        <w:rPr>
          <w:rFonts w:ascii="Calibri" w:cs="Calibri" w:eastAsia="Calibri" w:hAnsi="Calibri"/>
          <w:b w:val="false"/>
          <w:bCs w:val="false"/>
          <w:i w:val="false"/>
          <w:iCs w:val="false"/>
          <w:sz w:val="22"/>
          <w:szCs w:val="22"/>
        </w:rPr>
        <w:t xml:space="preserve">Bij de laatste: het onjuiste deel is het woord “veiliger” als algemene uitspraak. In deel 20 werken we dit uit langs het toezichtkader.</w:t>
      </w:r>
    </w:p>
    <w:p>
      <w:pPr>
        <w:spacing w:after="100"/>
      </w:pPr>
    </w:p>
    <w:p>
      <w:pPr>
        <w:pStyle w:val="Heading2"/>
        <w:spacing w:after="120" w:before="200"/>
      </w:pPr>
      <w:r>
        <w:rPr>
          <w:rFonts w:ascii="Georgia" w:cs="Georgia" w:eastAsia="Georgia" w:hAnsi="Georgia"/>
          <w:b/>
          <w:bCs/>
          <w:color w:val="2563A8"/>
          <w:sz w:val="28"/>
          <w:szCs w:val="28"/>
        </w:rPr>
        <w:t xml:space="preserve">Opdracht 1.8 — Praktijkopdracht</w:t>
      </w:r>
    </w:p>
    <w:p>
      <w:pPr>
        <w:spacing w:after="140" w:line="300"/>
      </w:pPr>
      <w:r>
        <w:rPr>
          <w:rFonts w:ascii="Calibri" w:cs="Calibri" w:eastAsia="Calibri" w:hAnsi="Calibri"/>
          <w:b w:val="false"/>
          <w:bCs w:val="false"/>
          <w:i w:val="false"/>
          <w:iCs w:val="false"/>
          <w:sz w:val="22"/>
          <w:szCs w:val="22"/>
        </w:rPr>
        <w:t xml:space="preserve">Zoek de pensioenregeling op van je eigen werkgever of van een organisatie die je kent (pensioenreglement, Pensioen 1-2-3, of de website van de uitvoerder). Beantwoord de vier analysevragen en noteer per vraag je bron. Neem het resultaat mee naar deel 2; we bouwen er daar de driehoek onder.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alle vier vragen beantwoord, elke bewering herleidbaar tot een vindplaats, en expliciete markering van wat niet uit de bronnen bleek. Het laatste criterium weegt het zwaarst: onbekende informatie benoemen is in dit vak een vaardigheid, geen tekortkoming.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2026-08-17T11:22:43.046Z</dcterms:created>
  <dcterms:modified xsi:type="dcterms:W3CDTF">2026-08-17T11:22:43.046Z</dcterms:modified>
</cp:coreProperties>
</file>

<file path=docProps/custom.xml><?xml version="1.0" encoding="utf-8"?>
<Properties xmlns="http://schemas.openxmlformats.org/officeDocument/2006/custom-properties" xmlns:vt="http://schemas.openxmlformats.org/officeDocument/2006/docPropsVTypes"/>
</file>