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2 — Docentenhandleiding</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Eén dagdeel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De driehoek moet aan het eind van dit dagdeel een reflex zijn. Niet “ik kan de drie documenten opnoemen”, maar “als iemand mij een pensioenvoorstel voorlegt, vraag ik automatisch welke van de drie lagen meebeweegt”.</w:t>
      </w:r>
    </w:p>
    <w:p>
      <w:pPr>
        <w:spacing w:after="140" w:line="300"/>
      </w:pPr>
      <w:r>
        <w:rPr>
          <w:rFonts w:ascii="Calibri" w:cs="Calibri" w:eastAsia="Calibri" w:hAnsi="Calibri"/>
          <w:b w:val="false"/>
          <w:bCs w:val="false"/>
          <w:i w:val="false"/>
          <w:iCs w:val="false"/>
          <w:sz w:val="22"/>
          <w:szCs w:val="22"/>
        </w:rPr>
        <w:t xml:space="preserve">Het tweede doel is minder zichtbaar maar minstens zo belangrijk: deelnemers moeten leren dat een pensioenwijziging </w:t>
      </w:r>
      <w:r>
        <w:rPr>
          <w:rFonts w:ascii="Calibri" w:cs="Calibri" w:eastAsia="Calibri" w:hAnsi="Calibri"/>
          <w:b/>
          <w:bCs/>
          <w:i w:val="false"/>
          <w:iCs w:val="false"/>
          <w:sz w:val="22"/>
          <w:szCs w:val="22"/>
        </w:rPr>
        <w:t xml:space="preserve">arbeidsrechtelijk</w:t>
      </w:r>
      <w:r>
        <w:rPr>
          <w:rFonts w:ascii="Calibri" w:cs="Calibri" w:eastAsia="Calibri" w:hAnsi="Calibri"/>
          <w:b w:val="false"/>
          <w:bCs w:val="false"/>
          <w:i w:val="false"/>
          <w:iCs w:val="false"/>
          <w:sz w:val="22"/>
          <w:szCs w:val="22"/>
        </w:rPr>
        <w:t xml:space="preserve"> begint. Vooral deelnemers uit de uitvoering hebben het beeld dat een regeling verandert omdat de wet verandert. Dat beeld moet hier sneuvelen, anders begrijpen ze deel 15 niet.</w:t>
      </w:r>
    </w:p>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1, huiswerk 1.8 kort inventariseren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drie verhoudingen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met figuur 2-1</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2.2 documenten sorteren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Duo’s, dan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0:55–1:10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volgorde van wijzigen + opdracht 2.3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1:30–1:50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Onderbrengplicht + opdracht 2.4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1:50–2:20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Contract lezen, opdracht 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dan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Instemmingsrecht, opdracht 2.6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 gesprek</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Diagnosevragen, huiswerk 2.7</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Terugblik.</w:t>
      </w:r>
      <w:r>
        <w:rPr>
          <w:rFonts w:ascii="Calibri" w:cs="Calibri" w:eastAsia="Calibri" w:hAnsi="Calibri"/>
          <w:b w:val="false"/>
          <w:bCs w:val="false"/>
          <w:i w:val="false"/>
          <w:iCs w:val="false"/>
          <w:sz w:val="22"/>
          <w:szCs w:val="22"/>
        </w:rPr>
        <w:t xml:space="preserve"> Vraag niet “hoe ging het huiswerk”, vraag “wie kon zijn uitvoeringsovereenkomst niet vinden”. Dat levert direct het inzicht op dat de deelnemer dat document normaliter niet krijgt. Gebruik het als opstap naar de drie verhoudingen.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drie verhoudingen.</w:t>
      </w:r>
      <w:r>
        <w:rPr>
          <w:rFonts w:ascii="Calibri" w:cs="Calibri" w:eastAsia="Calibri" w:hAnsi="Calibri"/>
          <w:b w:val="false"/>
          <w:bCs w:val="false"/>
          <w:i w:val="false"/>
          <w:iCs w:val="false"/>
          <w:sz w:val="22"/>
          <w:szCs w:val="22"/>
        </w:rPr>
        <w:t xml:space="preserve"> Teken de driehoek zelf op de flap, in deze volgorde: eerst werkgever–werknemer, dan werkgever–uitvoerder, dan uitvoerder–deelnemer. De volgorde van tekenen is de volgorde van wijzigen; die koppeling maak je later expliciet.</w:t>
      </w:r>
    </w:p>
    <w:p>
      <w:pPr>
        <w:spacing w:after="140" w:line="300"/>
      </w:pPr>
      <w:r>
        <w:rPr>
          <w:rFonts w:ascii="Calibri" w:cs="Calibri" w:eastAsia="Calibri" w:hAnsi="Calibri"/>
          <w:b w:val="false"/>
          <w:bCs w:val="false"/>
          <w:i w:val="false"/>
          <w:iCs w:val="false"/>
          <w:sz w:val="22"/>
          <w:szCs w:val="22"/>
        </w:rPr>
        <w:t xml:space="preserve">Benoem hier het verschil bpf versus verzekerde regeling — uitvoeringsreglement versus uitvoeringsovereenkomst. Dit is het eerste moment in de cursus waarop de fondsen- en verzekeringswereld structureel uiteenlopen. Deelnemers uit de fondsenwereld vinden “onderhandelen over de uitvoeringsovereenkomst” vaak een vreemd idee; deelnemers uit de verzekeringswereld vinden “je valt er gewoon onder” even vreemd. Laat ze het elkaar uitleggen.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Opdracht 2.2.</w:t>
      </w:r>
      <w:r>
        <w:rPr>
          <w:rFonts w:ascii="Calibri" w:cs="Calibri" w:eastAsia="Calibri" w:hAnsi="Calibri"/>
          <w:b w:val="false"/>
          <w:bCs w:val="false"/>
          <w:i w:val="false"/>
          <w:iCs w:val="false"/>
          <w:sz w:val="22"/>
          <w:szCs w:val="22"/>
        </w:rPr>
        <w:t xml:space="preserve"> Item 7 (het gegevensverzoek) is de bedoelde struikelaar. Als niemand hem misplaatst, ben je waarschijnlijk aan een sterke groep bezig — voer dan de mutatiecasus op: een salariswijziging die te laat is doorgegeven, waardoor een nabestaandenpensioen te laag blijkt. Vraag: welke laag heeft gefaald, en wie draagt de schade? Dat gesprek is de opmaat naar deel 19.</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Volgorde van wijzigen.</w:t>
      </w:r>
      <w:r>
        <w:rPr>
          <w:rFonts w:ascii="Calibri" w:cs="Calibri" w:eastAsia="Calibri" w:hAnsi="Calibri"/>
          <w:b w:val="false"/>
          <w:bCs w:val="false"/>
          <w:i w:val="false"/>
          <w:iCs w:val="false"/>
          <w:sz w:val="22"/>
          <w:szCs w:val="22"/>
        </w:rPr>
        <w:t xml:space="preserve"> De kernboodschap in één zin op de flap:</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Een pensioenwijziging begint aan de arbeidsvoorwaardelijke tafel, niet bij de uitvoerder.</w:t>
            </w:r>
          </w:p>
        </w:tc>
      </w:tr>
    </w:tbl>
    <w:p>
      <w:pPr>
        <w:spacing w:after="140" w:line="300"/>
      </w:pPr>
      <w:r>
        <w:rPr>
          <w:rFonts w:ascii="Calibri" w:cs="Calibri" w:eastAsia="Calibri" w:hAnsi="Calibri"/>
          <w:b w:val="false"/>
          <w:bCs w:val="false"/>
          <w:i w:val="false"/>
          <w:iCs w:val="false"/>
          <w:sz w:val="22"/>
          <w:szCs w:val="22"/>
        </w:rPr>
        <w:t xml:space="preserve">Bij opdracht 2.3 komt bijna altijd de opmerking dat het in de praktijk anders gaat: de uitvoerder reserveert al capaciteit terwijl de OR nog niet heeft ingestemd. Ga daar in mee. Dit is geen fout maar een structurele spanning, en het is precies de reden dat transities uitlopen. Noteer de spanning op de flap “Deel 15”.</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Onderbrengplicht.</w:t>
      </w:r>
      <w:r>
        <w:rPr>
          <w:rFonts w:ascii="Calibri" w:cs="Calibri" w:eastAsia="Calibri" w:hAnsi="Calibri"/>
          <w:b w:val="false"/>
          <w:bCs w:val="false"/>
          <w:i w:val="false"/>
          <w:iCs w:val="false"/>
          <w:sz w:val="22"/>
          <w:szCs w:val="22"/>
        </w:rPr>
        <w:t xml:space="preserve"> Casus b (het gat van een half jaar) is het meest leerzaam. Vraag door op wat er gebeurt als iemand in dat halve jaar overlijdt. Deelnemers uit de adviespraktijk hebben hier vaak een eigen verhaal; laat dat vertellen, maximaal vijf minuten, en trek de conclusie: dekkingsgaten ontstaan bijna altijd bij contractovergangen, en de transitie creëert veel contractovergangen tegelijk.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Opdracht 2.5 — contract lezen.</w:t>
      </w:r>
      <w:r>
        <w:rPr>
          <w:rFonts w:ascii="Calibri" w:cs="Calibri" w:eastAsia="Calibri" w:hAnsi="Calibri"/>
          <w:b w:val="false"/>
          <w:bCs w:val="false"/>
          <w:i w:val="false"/>
          <w:iCs w:val="false"/>
          <w:sz w:val="22"/>
          <w:szCs w:val="22"/>
        </w:rPr>
        <w:t xml:space="preserve"> Neem hier de tijd voor; dit is de kern van het dagdeel. Twee dingen moeten landen:</w:t>
      </w:r>
    </w:p>
    <w:p>
      <w:pPr>
        <w:pStyle w:val="ListParagraph"/>
        <w:numPr>
          <w:ilvl w:val="0"/>
          <w:numId w:val="1"/>
        </w:numPr>
        <w:spacing w:after="80"/>
      </w:pPr>
      <w:r>
        <w:rPr>
          <w:rFonts w:ascii="Calibri" w:cs="Calibri" w:eastAsia="Calibri" w:hAnsi="Calibri"/>
          <w:sz w:val="22"/>
          <w:szCs w:val="22"/>
        </w:rPr>
        <w:t xml:space="preserve">1. de opzegtermijn ligt anderhalf jaar vóór de uiterste transitiedatum die iedereen in zijn hoofd heeft;</w:t>
      </w:r>
    </w:p>
    <w:p>
      <w:pPr>
        <w:pStyle w:val="ListParagraph"/>
        <w:numPr>
          <w:ilvl w:val="0"/>
          <w:numId w:val="1"/>
        </w:numPr>
        <w:spacing w:after="80"/>
      </w:pPr>
      <w:r>
        <w:rPr>
          <w:rFonts w:ascii="Calibri" w:cs="Calibri" w:eastAsia="Calibri" w:hAnsi="Calibri"/>
          <w:sz w:val="22"/>
          <w:szCs w:val="22"/>
        </w:rPr>
        <w:t xml:space="preserve">2. bij een verzekerde regeling blijven de oude aanspraken achter — ze gaan niet vanzelf mee.</w:t>
      </w:r>
    </w:p>
    <w:p>
      <w:pPr>
        <w:spacing w:after="140" w:line="300"/>
      </w:pPr>
      <w:r>
        <w:rPr>
          <w:rFonts w:ascii="Calibri" w:cs="Calibri" w:eastAsia="Calibri" w:hAnsi="Calibri"/>
          <w:b w:val="false"/>
          <w:bCs w:val="false"/>
          <w:i w:val="false"/>
          <w:iCs w:val="false"/>
          <w:sz w:val="22"/>
          <w:szCs w:val="22"/>
        </w:rPr>
        <w:t xml:space="preserve">Punt 2 is het punt waarop deelnemers uit de fondsenwereld consequent struikelen, omdat “invaren” voor hen het vanzelfsprekende beeld is. Zeg expliciet: </w:t>
      </w:r>
      <w:r>
        <w:rPr>
          <w:rFonts w:ascii="Calibri" w:cs="Calibri" w:eastAsia="Calibri" w:hAnsi="Calibri"/>
          <w:b/>
          <w:bCs/>
          <w:i w:val="false"/>
          <w:iCs w:val="false"/>
          <w:sz w:val="22"/>
          <w:szCs w:val="22"/>
        </w:rPr>
        <w:t xml:space="preserve">bij een verzekerde regeling is niet-meenemen het uitgangspunt, bij een fonds is invaren het uitgangspunt.</w:t>
      </w:r>
      <w:r>
        <w:rPr>
          <w:rFonts w:ascii="Calibri" w:cs="Calibri" w:eastAsia="Calibri" w:hAnsi="Calibri"/>
          <w:b w:val="false"/>
          <w:bCs w:val="false"/>
          <w:i w:val="false"/>
          <w:iCs w:val="false"/>
          <w:sz w:val="22"/>
          <w:szCs w:val="22"/>
        </w:rPr>
        <w:t xml:space="preserve"> Schrijf die zin op de flap; hij komt terug in deel 5, 6 en 16.</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Opdracht 2.6 — de e-mail van Ferdi.</w:t>
      </w:r>
      <w:r>
        <w:rPr>
          <w:rFonts w:ascii="Calibri" w:cs="Calibri" w:eastAsia="Calibri" w:hAnsi="Calibri"/>
          <w:b w:val="false"/>
          <w:bCs w:val="false"/>
          <w:i w:val="false"/>
          <w:iCs w:val="false"/>
          <w:sz w:val="22"/>
          <w:szCs w:val="22"/>
        </w:rPr>
        <w:t xml:space="preserve"> Dit werkt het best als plenair gesprek, niet als schrijfopdracht. Laat deelnemers eerst reageren zoals een medewerker zou reageren, dan pas als adviseur. Het punt dat je wilt oogsten: de zin “door de nieuwe pensioenwet moeten we” is een halve waarheid die de onderhandelingsruimte wegneemt. Dat is niet alleen juridisch riskant maar ook een communicatiefout die vertrouwen kost — en die je in deel 17 terugziet in de eisen aan transitiecommunicatie.</w:t>
      </w:r>
    </w:p>
    <w:p>
      <w:pPr>
        <w:spacing w:after="140" w:line="300"/>
      </w:pPr>
      <w:r>
        <w:rPr>
          <w:rFonts w:ascii="Calibri" w:cs="Calibri" w:eastAsia="Calibri" w:hAnsi="Calibri"/>
          <w:b w:val="false"/>
          <w:bCs w:val="false"/>
          <w:i w:val="false"/>
          <w:iCs w:val="false"/>
          <w:sz w:val="22"/>
          <w:szCs w:val="22"/>
        </w:rPr>
        <w:t xml:space="preserve">Waak ervoor dat het gesprek in werkgever-bashing verzandt. Ferdi handelt zoals veel directeuren van 85-persoonsbedrijven handelen: hij denkt dat hij iets moet regelen en regelt het. Zet de vraag om: wat had zijn adviseur moeten doen?</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“Moet de OR ook instemmen als de wijziging voor iedereen gunstig is?”</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Het instemmingsrecht ziet op vaststellen, wijzigen of intrekken van de regeling, niet op de vraag of het gunstig is. In de praktijk verloopt instemming bij een verbetering sneller, maar de stap is niet optioneel.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als de OR niet instemt?”</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Dan is er een procedure via de kantonrechter voor vervangende toestemming. Verwijs voor de juridische lijn naar deel 22 en houd het hier bij: de mogelijkheid bestaat, maar wie bij een pensioentransitie op die route belandt, heeft het traject verkeerd ingericht.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een cao-afspraak genoeg, of moet de individuele werknemer ook instemmen?”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Hangt af van de binding aan de cao en van wat er individueel is overeengekomen. Parkeer op de flap “Deel 22”. Waarschuw wel: het is een van de plekken waar adviseurs te snel “dat is geregeld” zeggen.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“Wij zijn uitvoerder — wij krijgen de pensioenovereenkomst toch nooit te zien?”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Correct, en dat is precies het risico. De uitvoerder vertaalt wat de werkgever aanlevert. Als de aanlevering niet strookt met de toezegging, ontstaat het verschil dat pas jaren later opduikt. In deel 19 komt dit terug als kwaliteitsvraag in het aanleverproces.</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Flap met de driehoek, blijft naast het drieluik uit deel 1 hangen</w:t>
      </w:r>
    </w:p>
    <w:p>
      <w:pPr>
        <w:pStyle w:val="ListParagraph"/>
        <w:numPr>
          <w:ilvl w:val="0"/>
          <w:numId w:val="1"/>
        </w:numPr>
        <w:spacing w:after="80"/>
      </w:pPr>
      <w:r>
        <w:rPr>
          <w:rFonts w:ascii="Calibri" w:cs="Calibri" w:eastAsia="Calibri" w:hAnsi="Calibri"/>
          <w:sz w:val="22"/>
          <w:szCs w:val="22"/>
        </w:rPr>
        <w:t xml:space="preserve">Twee zinnen op de flap: “Een wijziging begint aan de arbeidsvoorwaardelijke tafel” en “Verzekerd: achterblijven is het uitgangspunt. Fonds: invaren is het uitgangspunt.”</w:t>
      </w:r>
    </w:p>
    <w:p>
      <w:pPr>
        <w:pStyle w:val="ListParagraph"/>
        <w:numPr>
          <w:ilvl w:val="0"/>
          <w:numId w:val="1"/>
        </w:numPr>
        <w:spacing w:after="80"/>
      </w:pPr>
      <w:r>
        <w:rPr>
          <w:rFonts w:ascii="Calibri" w:cs="Calibri" w:eastAsia="Calibri" w:hAnsi="Calibri"/>
          <w:sz w:val="22"/>
          <w:szCs w:val="22"/>
        </w:rPr>
        <w:t xml:space="preserve">Uitgeprinte contractartikelen voor opdracht 2.5</w:t>
      </w:r>
    </w:p>
    <w:p>
      <w:pPr>
        <w:pStyle w:val="ListParagraph"/>
        <w:numPr>
          <w:ilvl w:val="0"/>
          <w:numId w:val="1"/>
        </w:numPr>
        <w:spacing w:after="80"/>
      </w:pPr>
      <w:r>
        <w:rPr>
          <w:rFonts w:ascii="Calibri" w:cs="Calibri" w:eastAsia="Calibri" w:hAnsi="Calibri"/>
          <w:sz w:val="22"/>
          <w:szCs w:val="22"/>
        </w:rPr>
        <w:t xml:space="preserve">Optioneel: een echte, geanonimiseerde uitvoeringsovereenkomst en een pensioenreglement om te laten circuleren — het fysieke verschil in dikte maakt indruk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Huiswerk:</w:t>
      </w:r>
      <w:r>
        <w:rPr>
          <w:rFonts w:ascii="Calibri" w:cs="Calibri" w:eastAsia="Calibri" w:hAnsi="Calibri"/>
          <w:b w:val="false"/>
          <w:bCs w:val="false"/>
          <w:i w:val="false"/>
          <w:iCs w:val="false"/>
          <w:sz w:val="22"/>
          <w:szCs w:val="22"/>
        </w:rPr>
        <w:t xml:space="preserve"> opdracht 2.7 (Delta Chemie) en 2.8. Opdracht 2.7 is de opmaat naar deel 3 en 4, omdat daar de vraag ligt welk type overeenkomst de twee groepen hebben en waarom Delta Chemie geen bpf-aansluiting heeft.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2026-08-17T11:22:43.236Z</dcterms:created>
  <dcterms:modified xsi:type="dcterms:W3CDTF">2026-08-17T11:22:43.236Z</dcterms:modified>
</cp:coreProperties>
</file>

<file path=docProps/custom.xml><?xml version="1.0" encoding="utf-8"?>
<Properties xmlns="http://schemas.openxmlformats.org/officeDocument/2006/custom-properties" xmlns:vt="http://schemas.openxmlformats.org/officeDocument/2006/docPropsVTypes"/>
</file>