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2.1 — De driehoek onder je eigen regeling</w:t>
      </w:r>
    </w:p>
    <w:p>
      <w:pPr>
        <w:spacing w:after="140" w:line="300"/>
      </w:pPr>
      <w:r>
        <w:rPr>
          <w:rFonts w:ascii="Calibri" w:cs="Calibri" w:eastAsia="Calibri" w:hAnsi="Calibri"/>
          <w:b w:val="false"/>
          <w:bCs w:val="false"/>
          <w:i w:val="false"/>
          <w:iCs w:val="false"/>
          <w:sz w:val="22"/>
          <w:szCs w:val="22"/>
        </w:rPr>
        <w:t xml:space="preserve">Neem het resultaat van opdracht 1.8 erbij. Teken de driehoek en vul per hoek in: welk document, van welke datum, en waar vond je het?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Beoordelingslijn: alle drie de hoeken gevuld óf expliciet gemarkeerd als “niet gevonden”. Wie de uitvoeringsovereenkomst niet kon vinden, heeft geen fout gemaakt — dat document krijgt de deelnemer normaal gesproken niet te zien; het is een contract tussen werkgever en uitvoerder. Wie dát opmerkt, laat zien dat hij de verhoudingen begrijpt.</w:t>
            </w:r>
          </w:p>
        </w:tc>
      </w:tr>
    </w:tbl>
    <w:p>
      <w:pPr>
        <w:spacing w:after="100"/>
      </w:pPr>
    </w:p>
    <w:p>
      <w:pPr>
        <w:pStyle w:val="Heading2"/>
        <w:spacing w:after="120" w:before="200"/>
      </w:pPr>
      <w:r>
        <w:rPr>
          <w:rFonts w:ascii="Georgia" w:cs="Georgia" w:eastAsia="Georgia" w:hAnsi="Georgia"/>
          <w:b/>
          <w:bCs/>
          <w:color w:val="2563A8"/>
          <w:sz w:val="28"/>
          <w:szCs w:val="28"/>
        </w:rPr>
        <w:t xml:space="preserve">Opdracht 2.2 — Documenten sorteren</w:t>
      </w:r>
    </w:p>
    <w:p>
      <w:pPr>
        <w:spacing w:after="140" w:line="300"/>
      </w:pPr>
      <w:r>
        <w:rPr>
          <w:rFonts w:ascii="Calibri" w:cs="Calibri" w:eastAsia="Calibri" w:hAnsi="Calibri"/>
          <w:b w:val="false"/>
          <w:bCs w:val="false"/>
          <w:i w:val="false"/>
          <w:iCs w:val="false"/>
          <w:sz w:val="22"/>
          <w:szCs w:val="22"/>
        </w:rPr>
        <w:t xml:space="preserve">Zet elk document bij de juiste rechtsverhouding (werkgever–werknemer, werkgever–uitvoerder, uitvoerder–deelnemer):</w:t>
      </w:r>
    </w:p>
    <w:p>
      <w:pPr>
        <w:pStyle w:val="ListParagraph"/>
        <w:numPr>
          <w:ilvl w:val="0"/>
          <w:numId w:val="1"/>
        </w:numPr>
        <w:spacing w:after="80"/>
      </w:pPr>
      <w:r>
        <w:rPr>
          <w:rFonts w:ascii="Calibri" w:cs="Calibri" w:eastAsia="Calibri" w:hAnsi="Calibri"/>
          <w:sz w:val="22"/>
          <w:szCs w:val="22"/>
        </w:rPr>
        <w:t xml:space="preserve">1. Pensioenreglement 2024 van Meridiaan</w:t>
      </w:r>
    </w:p>
    <w:p>
      <w:pPr>
        <w:pStyle w:val="ListParagraph"/>
        <w:numPr>
          <w:ilvl w:val="0"/>
          <w:numId w:val="1"/>
        </w:numPr>
        <w:spacing w:after="80"/>
      </w:pPr>
      <w:r>
        <w:rPr>
          <w:rFonts w:ascii="Calibri" w:cs="Calibri" w:eastAsia="Calibri" w:hAnsi="Calibri"/>
          <w:sz w:val="22"/>
          <w:szCs w:val="22"/>
        </w:rPr>
        <w:t xml:space="preserve">2. Artikel 12 van het personeelshandboek van Van Doorn Techniek: “De werkgever biedt een pensioenregeling aan volgens de bij deze regeling behorende staffel.”</w:t>
      </w:r>
    </w:p>
    <w:p>
      <w:pPr>
        <w:pStyle w:val="ListParagraph"/>
        <w:numPr>
          <w:ilvl w:val="0"/>
          <w:numId w:val="1"/>
        </w:numPr>
        <w:spacing w:after="80"/>
      </w:pPr>
      <w:r>
        <w:rPr>
          <w:rFonts w:ascii="Calibri" w:cs="Calibri" w:eastAsia="Calibri" w:hAnsi="Calibri"/>
          <w:sz w:val="22"/>
          <w:szCs w:val="22"/>
        </w:rPr>
        <w:t xml:space="preserve">3. Uitvoeringsovereenkomst tussen Van Doorn en Meridiaan, looptijd 2022–2026</w:t>
      </w:r>
    </w:p>
    <w:p>
      <w:pPr>
        <w:pStyle w:val="ListParagraph"/>
        <w:numPr>
          <w:ilvl w:val="0"/>
          <w:numId w:val="1"/>
        </w:numPr>
        <w:spacing w:after="80"/>
      </w:pPr>
      <w:r>
        <w:rPr>
          <w:rFonts w:ascii="Calibri" w:cs="Calibri" w:eastAsia="Calibri" w:hAnsi="Calibri"/>
          <w:sz w:val="22"/>
          <w:szCs w:val="22"/>
        </w:rPr>
        <w:t xml:space="preserve">4. UPO van Karel Sanders over 2025</w:t>
      </w:r>
    </w:p>
    <w:p>
      <w:pPr>
        <w:pStyle w:val="ListParagraph"/>
        <w:numPr>
          <w:ilvl w:val="0"/>
          <w:numId w:val="1"/>
        </w:numPr>
        <w:spacing w:after="80"/>
      </w:pPr>
      <w:r>
        <w:rPr>
          <w:rFonts w:ascii="Calibri" w:cs="Calibri" w:eastAsia="Calibri" w:hAnsi="Calibri"/>
          <w:sz w:val="22"/>
          <w:szCs w:val="22"/>
        </w:rPr>
        <w:t xml:space="preserve">5. Uitvoeringsreglement van Bpf T&amp;I</w:t>
      </w:r>
    </w:p>
    <w:p>
      <w:pPr>
        <w:pStyle w:val="ListParagraph"/>
        <w:numPr>
          <w:ilvl w:val="0"/>
          <w:numId w:val="1"/>
        </w:numPr>
        <w:spacing w:after="80"/>
      </w:pPr>
      <w:r>
        <w:rPr>
          <w:rFonts w:ascii="Calibri" w:cs="Calibri" w:eastAsia="Calibri" w:hAnsi="Calibri"/>
          <w:sz w:val="22"/>
          <w:szCs w:val="22"/>
        </w:rPr>
        <w:t xml:space="preserve">6. Cao Techniek &amp; Installatie, hoofdstuk pensioen</w:t>
      </w:r>
    </w:p>
    <w:p>
      <w:pPr>
        <w:pStyle w:val="ListParagraph"/>
        <w:numPr>
          <w:ilvl w:val="0"/>
          <w:numId w:val="1"/>
        </w:numPr>
        <w:spacing w:after="80"/>
      </w:pPr>
      <w:r>
        <w:rPr>
          <w:rFonts w:ascii="Calibri" w:cs="Calibri" w:eastAsia="Calibri" w:hAnsi="Calibri"/>
          <w:sz w:val="22"/>
          <w:szCs w:val="22"/>
        </w:rPr>
        <w:t xml:space="preserve">7. Verzoek van Meridiaan aan Van Doorn om de salarisgegevens per 1 januari aan te leveren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1: uitvoerder–deelnemer. 2: werkgever–werknemer. 3: werkgever–uitvoerder. 4: uitvoerder–deelnemer. 5: werkgever–uitvoerder (maar eenzijdig vastgesteld, geen contract). 6: werkgever–werknemer, via de sociale partners. 7: werkgever–uitvoerder — dit is een informatieverplichting die in de uitvoeringsovereenkomst hoort te staan.</w:t>
            </w:r>
          </w:p>
        </w:tc>
      </w:tr>
    </w:tbl>
    <w:p>
      <w:pPr>
        <w:spacing w:after="140" w:line="300"/>
      </w:pPr>
      <w:r>
        <w:rPr>
          <w:rFonts w:ascii="Calibri" w:cs="Calibri" w:eastAsia="Calibri" w:hAnsi="Calibri"/>
          <w:b w:val="false"/>
          <w:bCs w:val="false"/>
          <w:i w:val="false"/>
          <w:iCs w:val="false"/>
          <w:sz w:val="22"/>
          <w:szCs w:val="22"/>
        </w:rPr>
        <w:t xml:space="preserve">Item 7 is de valkuil: veel deelnemers plaatsen dit onder “administratie” en niet onder een rechtsverhouding. Toch is het precies het soort verplichting waarover conflicten ontstaan, bijvoorbeeld als een mutatie te laat wordt doorgegeven en een risicodekking daardoor niet blijkt te hebben gegolden.</w:t>
      </w:r>
    </w:p>
    <w:p>
      <w:pPr>
        <w:spacing w:after="100"/>
      </w:pPr>
    </w:p>
    <w:p>
      <w:pPr>
        <w:pStyle w:val="Heading2"/>
        <w:spacing w:after="120" w:before="200"/>
      </w:pPr>
      <w:r>
        <w:rPr>
          <w:rFonts w:ascii="Georgia" w:cs="Georgia" w:eastAsia="Georgia" w:hAnsi="Georgia"/>
          <w:b/>
          <w:bCs/>
          <w:color w:val="2563A8"/>
          <w:sz w:val="28"/>
          <w:szCs w:val="28"/>
        </w:rPr>
        <w:t xml:space="preserve">Opdracht 2.3 — Volgorde van wijzigen</w:t>
      </w:r>
    </w:p>
    <w:p>
      <w:pPr>
        <w:spacing w:after="140" w:line="300"/>
      </w:pPr>
      <w:r>
        <w:rPr>
          <w:rFonts w:ascii="Calibri" w:cs="Calibri" w:eastAsia="Calibri" w:hAnsi="Calibri"/>
          <w:b w:val="false"/>
          <w:bCs w:val="false"/>
          <w:i w:val="false"/>
          <w:iCs w:val="false"/>
          <w:sz w:val="22"/>
          <w:szCs w:val="22"/>
        </w:rPr>
        <w:t xml:space="preserve">Zet de volgende stappen in de juiste volgorde en licht toe wat er misgaat als je stap 1 en stap 3 verwisselt.</w:t>
      </w:r>
    </w:p>
    <w:p>
      <w:pPr>
        <w:spacing w:after="140" w:line="300"/>
      </w:pPr>
      <w:r>
        <w:rPr>
          <w:rFonts w:ascii="Calibri" w:cs="Calibri" w:eastAsia="Calibri" w:hAnsi="Calibri"/>
          <w:b w:val="false"/>
          <w:bCs w:val="false"/>
          <w:i w:val="false"/>
          <w:iCs w:val="false"/>
          <w:sz w:val="22"/>
          <w:szCs w:val="22"/>
        </w:rPr>
        <w:t xml:space="preserve">a. Meridiaan past het pensioenreglement aan en verstuurt nieuwe informatie aan de deelnemers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Van Doorn en de OR bereiken overeenstemming over de nieuwe 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Van Doorn tekent een nieuwe uitvoeringsovereenkomst met Meridiaan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Meridiaan reserveert een implementatieslot in haar planning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Volgorde: b → c → a, met d in de praktijk parallel aan b, omdat implementatiecapaciteit ver vooruit wordt vastgelegd.</w:t>
            </w:r>
          </w:p>
        </w:tc>
      </w:tr>
    </w:tbl>
    <w:p>
      <w:pPr>
        <w:spacing w:after="140" w:line="300"/>
      </w:pPr>
      <w:r>
        <w:rPr>
          <w:rFonts w:ascii="Calibri" w:cs="Calibri" w:eastAsia="Calibri" w:hAnsi="Calibri"/>
          <w:b w:val="false"/>
          <w:bCs w:val="false"/>
          <w:i w:val="false"/>
          <w:iCs w:val="false"/>
          <w:sz w:val="22"/>
          <w:szCs w:val="22"/>
        </w:rPr>
        <w:t xml:space="preserve">Bij verwisseling van b en a: Meridiaan legt de deelnemers een regeling op die arbeidsvoorwaardelijk niet is overeengekomen. De deelnemer kan zich blijven beroepen op de oude toezegging; het reglement doet daar niets aan af, want het reglement kan niet meer regelen dan wat is toegezegd en gecontracteerd. Praktisch resultaat: een administratie die niet overeenkomt met de rechtspositie, en dat komt meestal pas jaren later aan het licht.</w:t>
      </w:r>
    </w:p>
    <w:p>
      <w:pPr>
        <w:spacing w:after="140" w:line="300"/>
      </w:pPr>
      <w:r>
        <w:rPr>
          <w:rFonts w:ascii="Calibri" w:cs="Calibri" w:eastAsia="Calibri" w:hAnsi="Calibri"/>
          <w:b w:val="false"/>
          <w:bCs w:val="false"/>
          <w:i w:val="false"/>
          <w:iCs w:val="false"/>
          <w:sz w:val="22"/>
          <w:szCs w:val="22"/>
        </w:rPr>
        <w:t xml:space="preserve">Nuance die goede deelnemers benoemen: d loopt in werkelijkheid vooruit op b. Dat is geen fout maar een spanning — de uitvoerder wil zekerheid over capaciteit, de werkgever heeft nog geen akkoord. Wie dat benoemt, begrijpt waarom transitietrajecten onder druk staan.</w:t>
      </w:r>
    </w:p>
    <w:p>
      <w:pPr>
        <w:spacing w:after="100"/>
      </w:pPr>
    </w:p>
    <w:p>
      <w:pPr>
        <w:pStyle w:val="Heading2"/>
        <w:spacing w:after="120" w:before="200"/>
      </w:pPr>
      <w:r>
        <w:rPr>
          <w:rFonts w:ascii="Georgia" w:cs="Georgia" w:eastAsia="Georgia" w:hAnsi="Georgia"/>
          <w:b/>
          <w:bCs/>
          <w:color w:val="2563A8"/>
          <w:sz w:val="28"/>
          <w:szCs w:val="28"/>
        </w:rPr>
        <w:t xml:space="preserve">Opdracht 2.4 — De onderbrengplicht</w:t>
      </w:r>
    </w:p>
    <w:p>
      <w:pPr>
        <w:spacing w:after="140" w:line="300"/>
      </w:pPr>
      <w:r>
        <w:rPr>
          <w:rFonts w:ascii="Calibri" w:cs="Calibri" w:eastAsia="Calibri" w:hAnsi="Calibri"/>
          <w:b w:val="false"/>
          <w:bCs w:val="false"/>
          <w:i w:val="false"/>
          <w:iCs w:val="false"/>
          <w:sz w:val="22"/>
          <w:szCs w:val="22"/>
        </w:rPr>
        <w:t xml:space="preserve">Beoordeel per situatie of aan de onderbrengplicht is voldaan en wat het risico is.</w:t>
      </w:r>
    </w:p>
    <w:p>
      <w:pPr>
        <w:spacing w:after="140" w:line="300"/>
      </w:pPr>
      <w:r>
        <w:rPr>
          <w:rFonts w:ascii="Calibri" w:cs="Calibri" w:eastAsia="Calibri" w:hAnsi="Calibri"/>
          <w:b w:val="false"/>
          <w:bCs w:val="false"/>
          <w:i w:val="false"/>
          <w:iCs w:val="false"/>
          <w:sz w:val="22"/>
          <w:szCs w:val="22"/>
        </w:rPr>
        <w:t xml:space="preserve">a. Een werkgever heeft een pensioentoezegging in het arbeidscontract staan, maar heeft nooit een contract met een uitvoerder gesloten.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werkgever laat zijn verzekerde contract per 1 januari aflopen, zegt op, en sluit pas per 1 juli een nieuw contract. De toezegging in het personeelshandboek is ongewijzigd.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dga bouwt pensioen op in eigen beheer binnen zijn eigen B.V., voor zichzelf.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werkgever betaalt zijn medewerkers een maandelijkse “pensioentoeslag” in het brutoloon en zegt: regel het zelf in de derde pijler.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Niet voldaan. De toezegging bestaat, het kapitaal niet. Risico: de werkgever moet uiteindelijk zelf nakomen, meestal ontdekt op pensioendatum of bij overlijden — dan zonder verzekeringsdekking voor het nabestaandenpensioen, wat het duurste scenario is.</w:t>
      </w:r>
    </w:p>
    <w:p>
      <w:pPr>
        <w:spacing w:after="140" w:line="300"/>
      </w:pPr>
      <w:r>
        <w:rPr>
          <w:rFonts w:ascii="Calibri" w:cs="Calibri" w:eastAsia="Calibri" w:hAnsi="Calibri"/>
          <w:b w:val="false"/>
          <w:bCs w:val="false"/>
          <w:i w:val="false"/>
          <w:iCs w:val="false"/>
          <w:sz w:val="22"/>
          <w:szCs w:val="22"/>
        </w:rPr>
        <w:t xml:space="preserve">b. Niet voldaan gedurende het halve jaar. Extra risico: in dat halve jaar is er geen risicodekking. Overlijdt iemand in die periode, dan staat de werkgever voor het volledige nabestaandenpensioen.</w:t>
      </w:r>
    </w:p>
    <w:p>
      <w:pPr>
        <w:spacing w:after="140" w:line="300"/>
      </w:pPr>
      <w:r>
        <w:rPr>
          <w:rFonts w:ascii="Calibri" w:cs="Calibri" w:eastAsia="Calibri" w:hAnsi="Calibri"/>
          <w:b w:val="false"/>
          <w:bCs w:val="false"/>
          <w:i w:val="false"/>
          <w:iCs w:val="false"/>
          <w:sz w:val="22"/>
          <w:szCs w:val="22"/>
        </w:rPr>
        <w:t xml:space="preserve">c. Voor de dga gold een uitzondering op de onderbrengplicht; opbouw in eigen beheer is uitgefaseerd, met eigen overgangsvarianten. Zie deel 26. Voor gewone werknemers is eigen beheer nooit toegestaan.</w:t>
      </w:r>
    </w:p>
    <w:p>
      <w:pPr>
        <w:spacing w:after="140" w:line="300"/>
      </w:pPr>
      <w:r>
        <w:rPr>
          <w:rFonts w:ascii="Calibri" w:cs="Calibri" w:eastAsia="Calibri" w:hAnsi="Calibri"/>
          <w:b w:val="false"/>
          <w:bCs w:val="false"/>
          <w:i w:val="false"/>
          <w:iCs w:val="false"/>
          <w:sz w:val="22"/>
          <w:szCs w:val="22"/>
        </w:rPr>
        <w:t xml:space="preserve">d. Formeel is er dan geen pensioentoezegging maar loon. Dat mág — maar let op: als in eerdere documenten of praktijk wél een toezegging is gedaan, kan de werkgever daar niet eenzijdig van af. En arbeidsrechtelijk levert het een verslechtering op die instemming vergt. Bijkomend punt: de werknemer verliest de fiscale faciliteit van de tweede pijler en de collectieve risicodekkingen.</w:t>
      </w:r>
    </w:p>
    <w:p>
      <w:pPr>
        <w:spacing w:after="100"/>
      </w:pPr>
    </w:p>
    <w:p>
      <w:pPr>
        <w:pStyle w:val="Heading2"/>
        <w:spacing w:after="120" w:before="200"/>
      </w:pPr>
      <w:r>
        <w:rPr>
          <w:rFonts w:ascii="Georgia" w:cs="Georgia" w:eastAsia="Georgia" w:hAnsi="Georgia"/>
          <w:b/>
          <w:bCs/>
          <w:color w:val="2563A8"/>
          <w:sz w:val="28"/>
          <w:szCs w:val="28"/>
        </w:rPr>
        <w:t xml:space="preserve">Opdracht 2.5 — Het contract lezen</w:t>
      </w:r>
    </w:p>
    <w:p>
      <w:pPr>
        <w:spacing w:after="140" w:line="300"/>
      </w:pPr>
      <w:r>
        <w:rPr>
          <w:rFonts w:ascii="Calibri" w:cs="Calibri" w:eastAsia="Calibri" w:hAnsi="Calibri"/>
          <w:b w:val="false"/>
          <w:bCs w:val="false"/>
          <w:i w:val="false"/>
          <w:iCs w:val="false"/>
          <w:sz w:val="22"/>
          <w:szCs w:val="22"/>
        </w:rPr>
        <w:t xml:space="preserve">Uit de uitvoeringsovereenkomst tussen Van Doorn Techniek en Meridiaan Pensioen:</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Artikel 3.1 — De overeenkomst is aangegaan voor de periode van 1 januari 2022 tot en met 31 december 2026 en wordt telkens stilzwijgend met één jaar verlengd, tenzij een van beide partijen uiterlijk zes maanden voor de expiratiedatum schriftelijk opzegt.</w:t>
            </w:r>
          </w:p>
          <w:p>
            <w:pPr>
              <w:spacing w:after="100" w:line="280"/>
            </w:pPr>
            <w:r>
              <w:rPr>
                <w:rFonts w:ascii="Calibri" w:cs="Calibri" w:eastAsia="Calibri" w:hAnsi="Calibri"/>
                <w:i/>
                <w:iCs/>
                <w:sz w:val="22"/>
                <w:szCs w:val="22"/>
              </w:rPr>
              <w:t xml:space="preserve">Artikel 9.2 — Na beëindiging van deze overeenkomst blijven de tot dat moment opgebouwde aanspraken premievrij achter bij de verzekeraar, onder de voorwaarden van het op dat moment geldende pensioenreglement.</w:t>
            </w:r>
          </w:p>
        </w:tc>
      </w:tr>
    </w:tbl>
    <w:p>
      <w:pPr>
        <w:spacing w:after="140" w:line="300"/>
      </w:pPr>
      <w:r>
        <w:rPr>
          <w:rFonts w:ascii="Calibri" w:cs="Calibri" w:eastAsia="Calibri" w:hAnsi="Calibri"/>
          <w:b w:val="false"/>
          <w:bCs w:val="false"/>
          <w:i w:val="false"/>
          <w:iCs w:val="false"/>
          <w:sz w:val="22"/>
          <w:szCs w:val="22"/>
        </w:rPr>
        <w:t xml:space="preserve">a. Welke datum is de laatste dag waarop Van Doorn kan opzeggen voor 1 januari 2027?</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betekent artikel 9.2 voor het opgebouwde kapitaal van Karel als Van Doorn per 1 januari 2027 naar een Wtp-conforme regeling gaat, eventueel bij een andere uitvoerder?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Welke twee andere lagen van de driehoek moeten vóór die opzegdatum op orde zijn?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30 juni 2026.</w:t>
      </w:r>
    </w:p>
    <w:p>
      <w:pPr>
        <w:spacing w:after="140" w:line="300"/>
      </w:pPr>
      <w:r>
        <w:rPr>
          <w:rFonts w:ascii="Calibri" w:cs="Calibri" w:eastAsia="Calibri" w:hAnsi="Calibri"/>
          <w:b w:val="false"/>
          <w:bCs w:val="false"/>
          <w:i w:val="false"/>
          <w:iCs w:val="false"/>
          <w:sz w:val="22"/>
          <w:szCs w:val="22"/>
        </w:rPr>
        <w:t xml:space="preserve">b. Het tot dat moment opgebouwde kapitaal blijft premievrij bij Meridiaan staan onder de oude voorwaarden. Het verhuist niet automatisch mee. Karel krijgt daarmee twee potjes: het oude bij Meridiaan en het nieuwe in de nieuwe regeling. Een collectieve waardeoverdracht is denkbaar, maar dat is een apart traject met een eigen procedure en met individueel bezwaarrecht — deel 16. Dit is een van de meest onderschatte verschillen met invaren bij een fonds.</w:t>
      </w:r>
    </w:p>
    <w:p>
      <w:pPr>
        <w:spacing w:after="140" w:line="300"/>
      </w:pPr>
      <w:r>
        <w:rPr>
          <w:rFonts w:ascii="Calibri" w:cs="Calibri" w:eastAsia="Calibri" w:hAnsi="Calibri"/>
          <w:b w:val="false"/>
          <w:bCs w:val="false"/>
          <w:i w:val="false"/>
          <w:iCs w:val="false"/>
          <w:sz w:val="22"/>
          <w:szCs w:val="22"/>
        </w:rPr>
        <w:t xml:space="preserve">c. Arbeidsvoorwaardelijk: overeenstemming met de OR over de nieuwe regeling, want zonder die overeenstemming weet je niet wát je gaat contracteren. En contractueel: minimaal een offertetraject bij Meridiaan en/of andere uitvoerders, zodat je op de opzegdatum weet waar je naartoe gaat. Wie opzegt zonder alternatief, staat op 1 januari met een toezegging zonder onderbrenging (zie 2.4b).</w:t>
      </w:r>
    </w:p>
    <w:p>
      <w:pPr>
        <w:spacing w:after="100"/>
      </w:pPr>
    </w:p>
    <w:p>
      <w:pPr>
        <w:pStyle w:val="Heading2"/>
        <w:spacing w:after="120" w:before="200"/>
      </w:pPr>
      <w:r>
        <w:rPr>
          <w:rFonts w:ascii="Georgia" w:cs="Georgia" w:eastAsia="Georgia" w:hAnsi="Georgia"/>
          <w:b/>
          <w:bCs/>
          <w:color w:val="2563A8"/>
          <w:sz w:val="28"/>
          <w:szCs w:val="28"/>
        </w:rPr>
        <w:t xml:space="preserve">Opdracht 2.6 — Instemmingsrecht *</w:t>
      </w:r>
    </w:p>
    <w:p>
      <w:pPr>
        <w:spacing w:after="140" w:line="300"/>
      </w:pPr>
      <w:r>
        <w:rPr>
          <w:rFonts w:ascii="Calibri" w:cs="Calibri" w:eastAsia="Calibri" w:hAnsi="Calibri"/>
          <w:b w:val="false"/>
          <w:bCs w:val="false"/>
          <w:i w:val="false"/>
          <w:iCs w:val="false"/>
          <w:sz w:val="22"/>
          <w:szCs w:val="22"/>
        </w:rPr>
        <w:t xml:space="preserve">Ferdi van Doorn stuurt een e-mail aan alle medewerkers:</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“Beste collega’s, door de nieuwe pensioenwet moeten we onze pensioenregeling per 1 januari 2027 aanpassen. Wij hebben met Meridiaan een nieuwe regeling afgesproken met een premie van 15% voor iedereen. Op 12 november volgt een informatiebijeenkomst.”</w:t>
            </w:r>
          </w:p>
        </w:tc>
      </w:tr>
    </w:tbl>
    <w:p>
      <w:pPr>
        <w:spacing w:after="140" w:line="300"/>
      </w:pPr>
      <w:r>
        <w:rPr>
          <w:rFonts w:ascii="Calibri" w:cs="Calibri" w:eastAsia="Calibri" w:hAnsi="Calibri"/>
          <w:b w:val="false"/>
          <w:bCs w:val="false"/>
          <w:i w:val="false"/>
          <w:iCs w:val="false"/>
          <w:sz w:val="22"/>
          <w:szCs w:val="22"/>
        </w:rPr>
        <w:t xml:space="preserve">Benoem drie problemen met deze aanpak en formuleer wat er in plaats daarvan had moeten gebeuren.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Problemen: (1) de regeling is al afgesproken met de uitvoerder vóórdat de OR heeft ingestemd — het instemmingsrecht is daarmee materieel uitgehold; (2) “door de nieuwe pensioenwet moeten we” is maar half waar: de wet dwingt tot Wtp-conformiteit, niet tot déze premie, deze uitvoerder of dit compensatiepakket, en die suggestie ontneemt medewerkers hun onderhandelingspositie; (3) een informatiebijeenkomst is geen instemmingstraject en zeker geen compensatiegesprek.</w:t>
            </w:r>
          </w:p>
        </w:tc>
      </w:tr>
    </w:tbl>
    <w:p>
      <w:pPr>
        <w:spacing w:after="140" w:line="300"/>
      </w:pPr>
      <w:r>
        <w:rPr>
          <w:rFonts w:ascii="Calibri" w:cs="Calibri" w:eastAsia="Calibri" w:hAnsi="Calibri"/>
          <w:b w:val="false"/>
          <w:bCs w:val="false"/>
          <w:i w:val="false"/>
          <w:iCs w:val="false"/>
          <w:sz w:val="22"/>
          <w:szCs w:val="22"/>
        </w:rPr>
        <w:t xml:space="preserve">Wat wél had gemoeten: OR vroegtijdig betrekken met een adviesvraag over het proces, een transitieplan opstellen met varianten en effecten per leeftijdsgroep, dan instemmingsverzoek, dan contracteren, dan communiceren. Sterke antwoorden benoemen ook dat individuele instemming aan de orde kan zijn bij wie er materieel op achteruitgaat.</w:t>
      </w:r>
    </w:p>
    <w:p>
      <w:pPr>
        <w:spacing w:after="100"/>
      </w:pPr>
    </w:p>
    <w:p>
      <w:pPr>
        <w:pStyle w:val="Heading2"/>
        <w:spacing w:after="120" w:before="200"/>
      </w:pPr>
      <w:r>
        <w:rPr>
          <w:rFonts w:ascii="Georgia" w:cs="Georgia" w:eastAsia="Georgia" w:hAnsi="Georgia"/>
          <w:b/>
          <w:bCs/>
          <w:color w:val="2563A8"/>
          <w:sz w:val="28"/>
          <w:szCs w:val="28"/>
        </w:rPr>
        <w:t xml:space="preserve">Opdracht 2.7 — Diagnose op een onbekend dossier</w:t>
      </w:r>
    </w:p>
    <w:p>
      <w:pPr>
        <w:spacing w:after="140" w:line="300"/>
      </w:pPr>
      <w:r>
        <w:rPr>
          <w:rFonts w:ascii="Calibri" w:cs="Calibri" w:eastAsia="Calibri" w:hAnsi="Calibri"/>
          <w:b w:val="false"/>
          <w:bCs w:val="false"/>
          <w:i w:val="false"/>
          <w:iCs w:val="false"/>
          <w:sz w:val="22"/>
          <w:szCs w:val="22"/>
        </w:rPr>
        <w:t xml:space="preserve">Delta Chemie legt je het volgende voor: het ondernemingspensioenfonds heeft een middelloonregeling die per 1 januari 2025 is gesloten voor nieuwe medewerkers. Nieuwe medewerkers krijgen sinds die datum een premieregeling bij een PPI, met een vlakke premie van 13%. Het fondsbestuur onderzoekt liquidatie.</w:t>
      </w:r>
    </w:p>
    <w:p>
      <w:pPr>
        <w:spacing w:after="140" w:line="300"/>
      </w:pPr>
      <w:r>
        <w:rPr>
          <w:rFonts w:ascii="Calibri" w:cs="Calibri" w:eastAsia="Calibri" w:hAnsi="Calibri"/>
          <w:b w:val="false"/>
          <w:bCs w:val="false"/>
          <w:i w:val="false"/>
          <w:iCs w:val="false"/>
          <w:sz w:val="22"/>
          <w:szCs w:val="22"/>
        </w:rPr>
        <w:t xml:space="preserve">Pas de vijf diagnosevragen uit paragraaf 2.10 toe en benoem per vraag wat je nog nodig hebt.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w:t>
            </w:r>
          </w:p>
        </w:tc>
      </w:tr>
    </w:tbl>
    <w:p>
      <w:pPr>
        <w:pStyle w:val="ListParagraph"/>
        <w:numPr>
          <w:ilvl w:val="0"/>
          <w:numId w:val="1"/>
        </w:numPr>
        <w:spacing w:after="80"/>
      </w:pPr>
      <w:r>
        <w:rPr>
          <w:rFonts w:ascii="Calibri" w:cs="Calibri" w:eastAsia="Calibri" w:hAnsi="Calibri"/>
          <w:sz w:val="22"/>
          <w:szCs w:val="22"/>
        </w:rPr>
        <w:t xml:space="preserve">1. Toezegging: er zijn er nu twee — de oude middelloontoezegging voor de bestaande groep en de nieuwe premietoezegging voor instromers. Nodig: beide teksten en de datum van de wijziging.</w:t>
      </w:r>
    </w:p>
    <w:p>
      <w:pPr>
        <w:pStyle w:val="ListParagraph"/>
        <w:numPr>
          <w:ilvl w:val="0"/>
          <w:numId w:val="1"/>
        </w:numPr>
        <w:spacing w:after="80"/>
      </w:pPr>
      <w:r>
        <w:rPr>
          <w:rFonts w:ascii="Calibri" w:cs="Calibri" w:eastAsia="Calibri" w:hAnsi="Calibri"/>
          <w:sz w:val="22"/>
          <w:szCs w:val="22"/>
        </w:rPr>
        <w:t xml:space="preserve">2. Ondergebracht bij: opf voor groep 1, PPI voor groep 2. Nodig: uitvoeringsovereenkomst met het opf, inclusief afspraken over premie en bijstorting, plus de PPI-overeenkomst met looptijd.</w:t>
      </w:r>
    </w:p>
    <w:p>
      <w:pPr>
        <w:pStyle w:val="ListParagraph"/>
        <w:numPr>
          <w:ilvl w:val="0"/>
          <w:numId w:val="1"/>
        </w:numPr>
        <w:spacing w:after="80"/>
      </w:pPr>
      <w:r>
        <w:rPr>
          <w:rFonts w:ascii="Calibri" w:cs="Calibri" w:eastAsia="Calibri" w:hAnsi="Calibri"/>
          <w:sz w:val="22"/>
          <w:szCs w:val="22"/>
        </w:rPr>
        <w:t xml:space="preserve">3. Reglementen: minstens twee, mogelijk drie als het opf-reglement historische varianten kent.</w:t>
      </w:r>
    </w:p>
    <w:p>
      <w:pPr>
        <w:pStyle w:val="ListParagraph"/>
        <w:numPr>
          <w:ilvl w:val="0"/>
          <w:numId w:val="1"/>
        </w:numPr>
        <w:spacing w:after="80"/>
      </w:pPr>
      <w:r>
        <w:rPr>
          <w:rFonts w:ascii="Calibri" w:cs="Calibri" w:eastAsia="Calibri" w:hAnsi="Calibri"/>
          <w:sz w:val="22"/>
          <w:szCs w:val="22"/>
        </w:rPr>
        <w:t xml:space="preserve">4. Afwijkingen tussen de lagen: hier ligt het risico. Is de sluiting van de oude regeling ook arbeidsvoorwaardelijk vastgelegd, of alleen feitelijk uitgevoerd?</w:t>
      </w:r>
    </w:p>
    <w:p>
      <w:pPr>
        <w:pStyle w:val="ListParagraph"/>
        <w:numPr>
          <w:ilvl w:val="0"/>
          <w:numId w:val="1"/>
        </w:numPr>
        <w:spacing w:after="80"/>
      </w:pPr>
      <w:r>
        <w:rPr>
          <w:rFonts w:ascii="Calibri" w:cs="Calibri" w:eastAsia="Calibri" w:hAnsi="Calibri"/>
          <w:sz w:val="22"/>
          <w:szCs w:val="22"/>
        </w:rPr>
        <w:t xml:space="preserve">5. Wie stemt in: de OR, en bij liquidatie van het fonds komen de fondsorganen erbij — verantwoordingsorgaan en intern toezicht — plus DNB.</w:t>
      </w:r>
    </w:p>
    <w:p>
      <w:pPr>
        <w:spacing w:after="140" w:line="300"/>
      </w:pPr>
      <w:r>
        <w:rPr>
          <w:rFonts w:ascii="Calibri" w:cs="Calibri" w:eastAsia="Calibri" w:hAnsi="Calibri"/>
          <w:b w:val="false"/>
          <w:bCs w:val="false"/>
          <w:i w:val="false"/>
          <w:iCs w:val="false"/>
          <w:sz w:val="22"/>
          <w:szCs w:val="22"/>
        </w:rPr>
        <w:t xml:space="preserve">Kernpunt dat de deelnemer moet zien: de oude middelloonopbouw kan hoe dan ook niet na 1 januari 2028 worden voortgezet. De liquidatievraag en de Wtp-vraag zijn twee verschillende vragen die hier door elkaar lopen; ze uit elkaar trekken is de eerste adviesdaad.</w:t>
      </w:r>
    </w:p>
    <w:p>
      <w:pPr>
        <w:spacing w:after="100"/>
      </w:pPr>
    </w:p>
    <w:p>
      <w:pPr>
        <w:pStyle w:val="Heading2"/>
        <w:spacing w:after="120" w:before="200"/>
      </w:pPr>
      <w:r>
        <w:rPr>
          <w:rFonts w:ascii="Georgia" w:cs="Georgia" w:eastAsia="Georgia" w:hAnsi="Georgia"/>
          <w:b/>
          <w:bCs/>
          <w:color w:val="2563A8"/>
          <w:sz w:val="28"/>
          <w:szCs w:val="28"/>
        </w:rPr>
        <w:t xml:space="preserve">Opdracht 2.8 — Terugkoppeling naar het drieluik</w:t>
      </w:r>
    </w:p>
    <w:p>
      <w:pPr>
        <w:spacing w:after="140" w:line="300"/>
      </w:pPr>
      <w:r>
        <w:rPr>
          <w:rFonts w:ascii="Calibri" w:cs="Calibri" w:eastAsia="Calibri" w:hAnsi="Calibri"/>
          <w:b w:val="false"/>
          <w:bCs w:val="false"/>
          <w:i w:val="false"/>
          <w:iCs w:val="false"/>
          <w:sz w:val="22"/>
          <w:szCs w:val="22"/>
        </w:rPr>
        <w:t xml:space="preserve">Beantwoord voor de premievrije aanspraken van Karel bij Meridiaan na beëindiging van het contract: wie belooft wat, wie voert uit, wie draagt het risico?</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Belooft: de toezegging is uitgewerkt — er komt geen opbouw meer bij; wat resteert is een aanspraak of kapitaal volgens het oude reglement. Voert uit: Meridiaan, onder het reglement zoals dat gold. Risico: afhankelijk van het product — bij een gegarandeerde aanspraak bij Meridiaan, bij een beleggingsproduct bij de deelnemer, met de kosten die het oude contract kende. De werkgever staat er, na afwikkeling van eventuele achterstanden, buiten.</w:t>
            </w:r>
          </w:p>
        </w:tc>
      </w:tr>
    </w:tbl>
    <w:p>
      <w:pPr>
        <w:spacing w:after="140" w:line="300"/>
      </w:pPr>
      <w:r>
        <w:rPr>
          <w:rFonts w:ascii="Calibri" w:cs="Calibri" w:eastAsia="Calibri" w:hAnsi="Calibri"/>
          <w:b w:val="false"/>
          <w:bCs w:val="false"/>
          <w:i w:val="false"/>
          <w:iCs w:val="false"/>
          <w:sz w:val="22"/>
          <w:szCs w:val="22"/>
        </w:rPr>
        <w:t xml:space="preserve">Dit is een belangrijk inzicht voor de communicatie in deel 17: Karel heeft straks twee potjes met verschillende spelregels, en niemand vertelt hem dat automatisch in één overzicht.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2026-08-17T11:22:43.192Z</dcterms:created>
  <dcterms:modified xsi:type="dcterms:W3CDTF">2026-08-17T11:22:43.192Z</dcterms:modified>
</cp:coreProperties>
</file>

<file path=docProps/custom.xml><?xml version="1.0" encoding="utf-8"?>
<Properties xmlns="http://schemas.openxmlformats.org/officeDocument/2006/custom-properties" xmlns:vt="http://schemas.openxmlformats.org/officeDocument/2006/docPropsVTypes"/>
</file>