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3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3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Deelnemers moeten na dit dagdeel elke regeling die zij tegenkomen binnen dertig seconden kunnen typeren, en zij moeten begrijpen waarom de staffel bestond. Dat tweede is essentieel: wie de staffel afdoet als “oneerlijk” of “achterhaald”, kan het compensatievraagstuk in deel 7 niet uitleggen aan een deelnemer van 58.</w:t>
      </w:r>
    </w:p>
    <w:p>
      <w:pPr>
        <w:spacing w:after="140" w:line="300"/>
      </w:pPr>
      <w:r>
        <w:rPr>
          <w:rFonts w:ascii="Calibri" w:cs="Calibri" w:eastAsia="Calibri" w:hAnsi="Calibri"/>
          <w:b w:val="false"/>
          <w:bCs w:val="false"/>
          <w:i w:val="false"/>
          <w:iCs w:val="false"/>
          <w:sz w:val="22"/>
          <w:szCs w:val="22"/>
        </w:rPr>
        <w:t xml:space="preserve">Er is één zin die dit dagdeel moet dragen:</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vlakke premie is nodig voor Wtp-conformiteit, maar niet genoeg.</w:t>
            </w:r>
          </w:p>
        </w:tc>
      </w:tr>
    </w:tbl>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 huiswerk Delta Chemie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klassieke karakters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3-1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3.1 typeren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snel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progressieve staffel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rekenvoorbeeld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3.3 kostenontwikkeling Van Doorn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drie Wtp-vormen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3-2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3.4 solidair of flexibel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Misvattingen (3.5),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Drie karakters.</w:t>
      </w:r>
      <w:r>
        <w:rPr>
          <w:rFonts w:ascii="Calibri" w:cs="Calibri" w:eastAsia="Calibri" w:hAnsi="Calibri"/>
          <w:b w:val="false"/>
          <w:bCs w:val="false"/>
          <w:i w:val="false"/>
          <w:iCs w:val="false"/>
          <w:sz w:val="22"/>
          <w:szCs w:val="22"/>
        </w:rPr>
        <w:t xml:space="preserve"> Houd het strak: wat is toegezegd, en wie draagt het risico. Ga hier niet uitweiden over indexatie of dekkingsgraden; dat leidt af. Koppel elk karakter expliciet aan het drieluik van deel 1 — de flap hangt er nog.</w:t>
      </w:r>
    </w:p>
    <w:p>
      <w:pPr>
        <w:spacing w:after="140" w:line="300"/>
      </w:pPr>
      <w:r>
        <w:rPr>
          <w:rFonts w:ascii="Calibri" w:cs="Calibri" w:eastAsia="Calibri" w:hAnsi="Calibri"/>
          <w:b w:val="false"/>
          <w:bCs w:val="false"/>
          <w:i w:val="false"/>
          <w:iCs w:val="false"/>
          <w:sz w:val="22"/>
          <w:szCs w:val="22"/>
        </w:rPr>
        <w:t xml:space="preserve">Deelnemers verwarren de kapitaalovereenkomst vaak met de premieovereenkomst. Verschil in één zin: bij een kapitaalovereenkomst is het </w:t>
      </w:r>
      <w:r>
        <w:rPr>
          <w:rFonts w:ascii="Calibri" w:cs="Calibri" w:eastAsia="Calibri" w:hAnsi="Calibri"/>
          <w:b w:val="false"/>
          <w:bCs w:val="false"/>
          <w:i/>
          <w:iCs/>
          <w:sz w:val="22"/>
          <w:szCs w:val="22"/>
        </w:rPr>
        <w:t xml:space="preserve">eindbedrag</w:t>
      </w:r>
      <w:r>
        <w:rPr>
          <w:rFonts w:ascii="Calibri" w:cs="Calibri" w:eastAsia="Calibri" w:hAnsi="Calibri"/>
          <w:b w:val="false"/>
          <w:bCs w:val="false"/>
          <w:i w:val="false"/>
          <w:iCs w:val="false"/>
          <w:sz w:val="22"/>
          <w:szCs w:val="22"/>
        </w:rPr>
        <w:t xml:space="preserve"> toegezegd, bij een premieovereenkomst de </w:t>
      </w:r>
      <w:r>
        <w:rPr>
          <w:rFonts w:ascii="Calibri" w:cs="Calibri" w:eastAsia="Calibri" w:hAnsi="Calibri"/>
          <w:b w:val="false"/>
          <w:bCs w:val="false"/>
          <w:i/>
          <w:iCs/>
          <w:sz w:val="22"/>
          <w:szCs w:val="22"/>
        </w:rPr>
        <w:t xml:space="preserve">inleg</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staffel.</w:t>
      </w:r>
      <w:r>
        <w:rPr>
          <w:rFonts w:ascii="Calibri" w:cs="Calibri" w:eastAsia="Calibri" w:hAnsi="Calibri"/>
          <w:b w:val="false"/>
          <w:bCs w:val="false"/>
          <w:i w:val="false"/>
          <w:iCs w:val="false"/>
          <w:sz w:val="22"/>
          <w:szCs w:val="22"/>
        </w:rPr>
        <w:t xml:space="preserve"> Doe hier één rekenvoorbeeld op de flap. Twee deelnemers, dezelfde gewenste jaaropbouw, veertig jaar horizon versus vijf jaar horizon, en laat zien dat de benodigde inleg verschilt. Dit hoeft niet actuarieel exact — het gaat om het inzicht dat tijd rendement doet.</w:t>
      </w:r>
    </w:p>
    <w:p>
      <w:pPr>
        <w:spacing w:after="140" w:line="300"/>
      </w:pPr>
      <w:r>
        <w:rPr>
          <w:rFonts w:ascii="Calibri" w:cs="Calibri" w:eastAsia="Calibri" w:hAnsi="Calibri"/>
          <w:b w:val="false"/>
          <w:bCs w:val="false"/>
          <w:i w:val="false"/>
          <w:iCs w:val="false"/>
          <w:sz w:val="22"/>
          <w:szCs w:val="22"/>
        </w:rPr>
        <w:t xml:space="preserve">Reken op weerstand of ongemak. Er zit vaak iemand in de zaal die de staffel als vanzelfsprekend rechtvaardig ziet en iemand die hem als generatiediefstal ziet. Neutraliseer dat door de doelstelling centraal te stellen: de staffel was consistent met het doel “gelijke jaarlijkse opbouw”. Het doel is politiek gewijzigd naar “gelijke jaarlijkse inleg”. Beide zijn verdedigbaar; de wetgever heeft gekozen. Blijf hier weg bij een normatief debat, maar sta wel toe dat het verlies voor de oudere deelnemer als reëel wordt benoemd — dat is het namelijk, en het is de reden dat compensatie bestaat.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Kostenontwikkeling (3.3).</w:t>
      </w:r>
      <w:r>
        <w:rPr>
          <w:rFonts w:ascii="Calibri" w:cs="Calibri" w:eastAsia="Calibri" w:hAnsi="Calibri"/>
          <w:b w:val="false"/>
          <w:bCs w:val="false"/>
          <w:i w:val="false"/>
          <w:iCs w:val="false"/>
          <w:sz w:val="22"/>
          <w:szCs w:val="22"/>
        </w:rPr>
        <w:t xml:space="preserve"> Deelnemers uit advies en HR vinden dit vaak de meest bruikbare opdracht van het dagdeel, omdat het de directievraag raakt: “wordt het goedkoper?” Laat vraag c niet weg. Het onvolledige antwoord (alleen vlakke premie tegenover gewogen staffel) is precies wat er in de markt te vaak wordt gepresenteerd.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drie Wtp-vormen.</w:t>
      </w:r>
      <w:r>
        <w:rPr>
          <w:rFonts w:ascii="Calibri" w:cs="Calibri" w:eastAsia="Calibri" w:hAnsi="Calibri"/>
          <w:b w:val="false"/>
          <w:bCs w:val="false"/>
          <w:i w:val="false"/>
          <w:iCs w:val="false"/>
          <w:sz w:val="22"/>
          <w:szCs w:val="22"/>
        </w:rPr>
        <w:t xml:space="preserve"> Bouw ze op in deze volgorde: eerst wat ze gemeen hebben (vlakke premie, persoonlijk vermogen), dan waar ze verschillen. Als je andersom begint, onthouden deelnemers vooral de verschillen en niet de gemeenschappelijke basis, en dan ontstaat de misvatting uit opdracht 3.5.1.</w:t>
      </w:r>
    </w:p>
    <w:p>
      <w:pPr>
        <w:spacing w:after="140" w:line="300"/>
      </w:pPr>
      <w:r>
        <w:rPr>
          <w:rFonts w:ascii="Calibri" w:cs="Calibri" w:eastAsia="Calibri" w:hAnsi="Calibri"/>
          <w:b w:val="false"/>
          <w:bCs w:val="false"/>
          <w:i w:val="false"/>
          <w:iCs w:val="false"/>
          <w:sz w:val="22"/>
          <w:szCs w:val="22"/>
        </w:rPr>
        <w:t xml:space="preserve">De premie-uitkeringsovereenkomst wordt in veel opleidingen weggelaten omdat hij weinig voorkomt. Doe dat hier niet: hij is het duidelijkste voorbeeld van waarom het onderscheid tussen uitvoerders materieel is. Alleen een verzekeraar mag dit, en de reden daarvoor (kapitaaleisen bij gegarandeerde verplichtingen) verklaart in één keer waarom een PPI moet herverzekeren.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3.4.</w:t>
      </w:r>
      <w:r>
        <w:rPr>
          <w:rFonts w:ascii="Calibri" w:cs="Calibri" w:eastAsia="Calibri" w:hAnsi="Calibri"/>
          <w:b w:val="false"/>
          <w:bCs w:val="false"/>
          <w:i w:val="false"/>
          <w:iCs w:val="false"/>
          <w:sz w:val="22"/>
          <w:szCs w:val="22"/>
        </w:rPr>
        <w:t xml:space="preserve"> Situatie d is de test. Wie daar een regelingsvorm noemt, heeft de vraag niet gelezen. Laat de groep dit zelf ontdekken voordat je het benoemt; de leerervaring is groter dan de uitleg.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Misvattingen (3.5).</w:t>
      </w:r>
      <w:r>
        <w:rPr>
          <w:rFonts w:ascii="Calibri" w:cs="Calibri" w:eastAsia="Calibri" w:hAnsi="Calibri"/>
          <w:b w:val="false"/>
          <w:bCs w:val="false"/>
          <w:i w:val="false"/>
          <w:iCs w:val="false"/>
          <w:sz w:val="22"/>
          <w:szCs w:val="22"/>
        </w:rPr>
        <w:t xml:space="preserve"> Behandel nummer 4 als laatste en het langst. “Wij hebben al een beschikbarepremieregeling dus wij zijn al klaar” is de meest gehoorde onjuistheid in de verzekerde markt, en de deelnemers gaan hem in hun eigen praktijk tegenkomen. Laat ze de correctie hardop formuleren tegen een fictieve directeur.</w:t>
      </w:r>
    </w:p>
    <w:p>
      <w:pPr>
        <w:spacing w:after="100"/>
      </w:pPr>
    </w:p>
    <w:p>
      <w:pPr>
        <w:pStyle w:val="Heading2"/>
        <w:spacing w:after="120" w:before="200"/>
      </w:pPr>
      <w:r>
        <w:rPr>
          <w:rFonts w:ascii="Georgia" w:cs="Georgia" w:eastAsia="Georgia" w:hAnsi="Georgia"/>
          <w:b/>
          <w:bCs/>
          <w:color w:val="2563A8"/>
          <w:sz w:val="28"/>
          <w:szCs w:val="28"/>
        </w:rPr>
        <w:t xml:space="preserve">Verschillen tussen fondsen- en verzekeringsdeelnemers</w:t>
      </w:r>
    </w:p>
    <w:p>
      <w:pPr>
        <w:pStyle w:val="ListParagraph"/>
        <w:numPr>
          <w:ilvl w:val="0"/>
          <w:numId w:val="1"/>
        </w:numPr>
        <w:spacing w:after="80"/>
      </w:pPr>
      <w:r>
        <w:rPr>
          <w:rFonts w:ascii="Calibri" w:cs="Calibri" w:eastAsia="Calibri" w:hAnsi="Calibri"/>
          <w:sz w:val="22"/>
          <w:szCs w:val="22"/>
        </w:rPr>
        <w:t xml:space="preserve">Deelnemers uit de fondsenwereld kennen de staffel meestal niet uit eigen ervaring — daar was de doorsneesystematiek de norm. Voor hen is de staffel abstract; besteed extra aandacht aan het rekenvoorbeeld.</w:t>
      </w:r>
    </w:p>
    <w:p>
      <w:pPr>
        <w:pStyle w:val="ListParagraph"/>
        <w:numPr>
          <w:ilvl w:val="0"/>
          <w:numId w:val="1"/>
        </w:numPr>
        <w:spacing w:after="80"/>
      </w:pPr>
      <w:r>
        <w:rPr>
          <w:rFonts w:ascii="Calibri" w:cs="Calibri" w:eastAsia="Calibri" w:hAnsi="Calibri"/>
          <w:sz w:val="22"/>
          <w:szCs w:val="22"/>
        </w:rPr>
        <w:t xml:space="preserve">Deelnemers uit de verzekeringswereld kennen de solidariteitsreserve en de toedelingsregels niet. Voor hen is “collectief beleggen met een persoonlijk vermogen” de moeilijke constructie.</w:t>
      </w:r>
    </w:p>
    <w:p>
      <w:pPr>
        <w:pStyle w:val="ListParagraph"/>
        <w:numPr>
          <w:ilvl w:val="0"/>
          <w:numId w:val="1"/>
        </w:numPr>
        <w:spacing w:after="80"/>
      </w:pPr>
      <w:r>
        <w:rPr>
          <w:rFonts w:ascii="Calibri" w:cs="Calibri" w:eastAsia="Calibri" w:hAnsi="Calibri"/>
          <w:sz w:val="22"/>
          <w:szCs w:val="22"/>
        </w:rPr>
        <w:t xml:space="preserve">Laat de twee groepen elkaar bevragen bij de vergelijkingstabel in paragraaf 3.5. Dat werkt beter dan jouw uitleg en het bouwt de gemengde blik op die de hele cursus nastreeft.</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fonds ook de flexibele premieregeling doen?”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Ja. De koppeling solidair-fonds en flexibel-verzekeraar is een praktijkpatroon, geen wettelijke indeling. Verplichtgestelde bedrijfstakpensioenfondsen kiezen overwegend solidair, maar dat is een keuze van de sociale partners.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 hoog mag de vlakke premie zijn?”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Binnen de fiscale premiegrens; het exacte percentage en de bijbehorende opslagen behandelen we in deel 11. Geef hier geen getal uit het hoofd — de grens is onderwerp van periodieke herijking.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werkgever nu al een vlakke premie heeft die te hoog is?”</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Dan is de regeling niet Wtp-conform op een ander punt dan de staffel. Dat is precies de reden dat vraag 3 uit vier subcontroles bestaat; die zetten we in deel 5 op een rij.</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“Blijft de solidariteitsreserve van de deelnemer of van het fonds?”</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Van het collectief. Zij is geen persoonlijk vermogen. Dieper gaan we in niveau 2; hier is het voldoende dat deelnemers weten dat de reserve buiten de persoonlijke vermogens staat.</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Flap met de kernzin over vlakke premie</w:t>
      </w:r>
    </w:p>
    <w:p>
      <w:pPr>
        <w:pStyle w:val="ListParagraph"/>
        <w:numPr>
          <w:ilvl w:val="0"/>
          <w:numId w:val="1"/>
        </w:numPr>
        <w:spacing w:after="80"/>
      </w:pPr>
      <w:r>
        <w:rPr>
          <w:rFonts w:ascii="Calibri" w:cs="Calibri" w:eastAsia="Calibri" w:hAnsi="Calibri"/>
          <w:sz w:val="22"/>
          <w:szCs w:val="22"/>
        </w:rPr>
        <w:t xml:space="preserve">Rekenvoorbeeld staffel voorbereid op flap of slide</w:t>
      </w:r>
    </w:p>
    <w:p>
      <w:pPr>
        <w:pStyle w:val="ListParagraph"/>
        <w:numPr>
          <w:ilvl w:val="0"/>
          <w:numId w:val="1"/>
        </w:numPr>
        <w:spacing w:after="80"/>
      </w:pPr>
      <w:r>
        <w:rPr>
          <w:rFonts w:ascii="Calibri" w:cs="Calibri" w:eastAsia="Calibri" w:hAnsi="Calibri"/>
          <w:sz w:val="22"/>
          <w:szCs w:val="22"/>
        </w:rPr>
        <w:t xml:space="preserve">Een echte fiscale staffeltabel (geanonimiseerd of uit een openbare bron), uitgeprint — deelnemers moeten er één keer fysiek naar kijken</w:t>
      </w:r>
    </w:p>
    <w:p>
      <w:pPr>
        <w:pStyle w:val="ListParagraph"/>
        <w:numPr>
          <w:ilvl w:val="0"/>
          <w:numId w:val="1"/>
        </w:numPr>
        <w:spacing w:after="80"/>
      </w:pPr>
      <w:r>
        <w:rPr>
          <w:rFonts w:ascii="Calibri" w:cs="Calibri" w:eastAsia="Calibri" w:hAnsi="Calibri"/>
          <w:sz w:val="22"/>
          <w:szCs w:val="22"/>
        </w:rPr>
        <w:t xml:space="preserve">Actuele controle: zijn er wijzigingen in de fiscale premiegrens of in de staffelsystematiek sinds de vorige cursusronde?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3.7 en 3.8. Opdracht 3.8 is de directe voorbereiding op deel 5; zonder dat huiswerk mist de conformiteitstoets daar zijn concrete materiaal.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2026-08-17T11:22:43.380Z</dcterms:created>
  <dcterms:modified xsi:type="dcterms:W3CDTF">2026-08-17T11:22:43.380Z</dcterms:modified>
</cp:coreProperties>
</file>

<file path=docProps/custom.xml><?xml version="1.0" encoding="utf-8"?>
<Properties xmlns="http://schemas.openxmlformats.org/officeDocument/2006/custom-properties" xmlns:vt="http://schemas.openxmlformats.org/officeDocument/2006/docPropsVTypes"/>
</file>