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Werkboek — Deel 3 — Werkboek</w:t>
      </w:r>
    </w:p>
    <w:p>
      <w:pPr>
        <w:spacing w:after="300"/>
      </w:pPr>
      <w:r>
        <w:rPr>
          <w:rFonts w:ascii="Calibri" w:cs="Calibri" w:eastAsia="Calibri" w:hAnsi="Calibri"/>
          <w:i/>
          <w:iCs/>
          <w:color w:val="2563A8"/>
          <w:sz w:val="22"/>
          <w:szCs w:val="22"/>
        </w:rPr>
        <w:t xml:space="preserve">Niveau 1 — Fundament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3 — Werkboek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1 · Fundament · Opdrachten met uitwerkingen</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Opdracht 3.1 — Typeren op signaalwoorden</w:t>
      </w:r>
    </w:p>
    <w:p>
      <w:pPr>
        <w:spacing w:after="140" w:line="300"/>
      </w:pPr>
      <w:r>
        <w:rPr>
          <w:rFonts w:ascii="Calibri" w:cs="Calibri" w:eastAsia="Calibri" w:hAnsi="Calibri"/>
          <w:b w:val="false"/>
          <w:bCs w:val="false"/>
          <w:i w:val="false"/>
          <w:iCs w:val="false"/>
          <w:sz w:val="22"/>
          <w:szCs w:val="22"/>
        </w:rPr>
        <w:t xml:space="preserve">Typeer elke regeling en noem het signaalwoord waarop je afgaat.</w:t>
      </w:r>
    </w:p>
    <w:p>
      <w:pPr>
        <w:spacing w:after="140" w:line="300"/>
      </w:pPr>
      <w:r>
        <w:rPr>
          <w:rFonts w:ascii="Calibri" w:cs="Calibri" w:eastAsia="Calibri" w:hAnsi="Calibri"/>
          <w:b w:val="false"/>
          <w:bCs w:val="false"/>
          <w:i w:val="false"/>
          <w:iCs w:val="false"/>
          <w:sz w:val="22"/>
          <w:szCs w:val="22"/>
        </w:rPr>
        <w:t xml:space="preserve">a. “De deelnemer verwerft jaarlijks een aanspraak van 1,738% van de pensioengrondslag.”</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“De werkgever stelt jaarlijks een premie beschikbaar volgens onderstaande tabel: 21 t/m 24 jaar 8,4%; 25 t/m 29 jaar 9,7%; … 65 jaar en ouder 26,1%.”</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“De werkgever stelt voor iedere deelnemer een premie beschikbaar van 14,5% van de pensioengrondslag.”</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 “Op de pensioendatum keert de verzekeraar een kapitaal uit van € 187.400.”</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e. “De ingelegde premie wordt maandelijks aangewend voor de inkoop van een levenslang ouderdomspensioen.”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a: uitkeringsovereenkomst — signaalwoord “aanspraak van x% per jaar”. b: premieovereenkomst met staffel — leeftijdsklassen. c: premieovereenkomst met vlakke premie — “voor iedere deelnemer” één percentage. d: kapitaalovereenkomst — gegarandeerd bedrag op einddatum. e: premie-uitkeringsovereenkomst — “aangewend voor inkoop”.</w:t>
            </w:r>
          </w:p>
        </w:tc>
      </w:tr>
    </w:tbl>
    <w:p>
      <w:pPr>
        <w:spacing w:after="140" w:line="300"/>
      </w:pPr>
      <w:r>
        <w:rPr>
          <w:rFonts w:ascii="Calibri" w:cs="Calibri" w:eastAsia="Calibri" w:hAnsi="Calibri"/>
          <w:b w:val="false"/>
          <w:bCs w:val="false"/>
          <w:i w:val="false"/>
          <w:iCs w:val="false"/>
          <w:sz w:val="22"/>
          <w:szCs w:val="22"/>
        </w:rPr>
        <w:t xml:space="preserve">Bij e: let op dat dit dus geen kapitaalopbouw is. De deelnemer heeft geen potje dat hij op pensioendatum ergens anders kan inbrengen; hij heeft aanspraken. Dat heeft gevolgen voor het shoprecht, deel 13.</w:t>
      </w:r>
    </w:p>
    <w:p>
      <w:pPr>
        <w:spacing w:after="100"/>
      </w:pPr>
    </w:p>
    <w:p>
      <w:pPr>
        <w:pStyle w:val="Heading2"/>
        <w:spacing w:after="120" w:before="200"/>
      </w:pPr>
      <w:r>
        <w:rPr>
          <w:rFonts w:ascii="Georgia" w:cs="Georgia" w:eastAsia="Georgia" w:hAnsi="Georgia"/>
          <w:b/>
          <w:bCs/>
          <w:color w:val="2563A8"/>
          <w:sz w:val="28"/>
          <w:szCs w:val="28"/>
        </w:rPr>
        <w:t xml:space="preserve">Opdracht 3.2 — Waarom bestond de staffel?</w:t>
      </w:r>
    </w:p>
    <w:p>
      <w:pPr>
        <w:spacing w:after="140" w:line="300"/>
      </w:pPr>
      <w:r>
        <w:rPr>
          <w:rFonts w:ascii="Calibri" w:cs="Calibri" w:eastAsia="Calibri" w:hAnsi="Calibri"/>
          <w:b w:val="false"/>
          <w:bCs w:val="false"/>
          <w:i w:val="false"/>
          <w:iCs w:val="false"/>
          <w:sz w:val="22"/>
          <w:szCs w:val="22"/>
        </w:rPr>
        <w:t xml:space="preserve">Leg in maximaal vijf zinnen uit waarom de premie in een klassieke premieregeling met de leeftijd opliep, en waarom die redenering onder de Wtp niet meer wordt gevolgd.</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(kern). De staffel maakte de premie actuarieel gelijkwaardig aan een gelijke jaarlijkse pensioenopbouw: geld van een jonge deelnemer rendeert langer, dus is er minder van nodig voor dezelfde opbouw. Onder de Wtp is het doel niet langer een gelijke jaarlijkse opbouw maar een gelijke jaarlijkse inleg. Daarmee verdwijnt de rekenkundige grond voor de staffel — en verschuift het voordeel van de lange beleggingshorizon naar de deelnemer die hem heeft: de jongere.</w:t>
            </w:r>
          </w:p>
        </w:tc>
      </w:tr>
    </w:tbl>
    <w:p>
      <w:pPr>
        <w:spacing w:after="140" w:line="300"/>
      </w:pPr>
      <w:r>
        <w:rPr>
          <w:rFonts w:ascii="Calibri" w:cs="Calibri" w:eastAsia="Calibri" w:hAnsi="Calibri"/>
          <w:b w:val="false"/>
          <w:bCs w:val="false"/>
          <w:i w:val="false"/>
          <w:iCs w:val="false"/>
          <w:sz w:val="22"/>
          <w:szCs w:val="22"/>
        </w:rPr>
        <w:t xml:space="preserve">Aandachtspunt: wie schrijft “de staffel was oneerlijk”, mist het punt. De staffel was consistent met het oude doel. Het doel is veranderd.</w:t>
      </w:r>
    </w:p>
    <w:p>
      <w:pPr>
        <w:spacing w:after="100"/>
      </w:pPr>
    </w:p>
    <w:p>
      <w:pPr>
        <w:pStyle w:val="Heading2"/>
        <w:spacing w:after="120" w:before="200"/>
      </w:pPr>
      <w:r>
        <w:rPr>
          <w:rFonts w:ascii="Georgia" w:cs="Georgia" w:eastAsia="Georgia" w:hAnsi="Georgia"/>
          <w:b/>
          <w:bCs/>
          <w:color w:val="2563A8"/>
          <w:sz w:val="28"/>
          <w:szCs w:val="28"/>
        </w:rPr>
        <w:t xml:space="preserve">Opdracht 3.3 — Kostenontwikkeling bij Van Doorn</w:t>
      </w:r>
    </w:p>
    <w:p>
      <w:pPr>
        <w:spacing w:after="140" w:line="300"/>
      </w:pPr>
      <w:r>
        <w:rPr>
          <w:rFonts w:ascii="Calibri" w:cs="Calibri" w:eastAsia="Calibri" w:hAnsi="Calibri"/>
          <w:b w:val="false"/>
          <w:bCs w:val="false"/>
          <w:i w:val="false"/>
          <w:iCs w:val="false"/>
          <w:sz w:val="22"/>
          <w:szCs w:val="22"/>
        </w:rPr>
        <w:t xml:space="preserve">Van Doorn Techniek heeft een staffel en een vergrijzend personeelsbestand. De gemiddelde leeftijd steeg van 38 (2016) naar 46 (2026).</w:t>
      </w:r>
    </w:p>
    <w:p>
      <w:pPr>
        <w:spacing w:after="140" w:line="300"/>
      </w:pPr>
      <w:r>
        <w:rPr>
          <w:rFonts w:ascii="Calibri" w:cs="Calibri" w:eastAsia="Calibri" w:hAnsi="Calibri"/>
          <w:b w:val="false"/>
          <w:bCs w:val="false"/>
          <w:i w:val="false"/>
          <w:iCs w:val="false"/>
          <w:sz w:val="22"/>
          <w:szCs w:val="22"/>
        </w:rPr>
        <w:t xml:space="preserve">a. Wat gebeurde er met de pensioenlast als percentage van de loonsom, zonder wijziging van de regeling?</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Wat gebeurt er met die last als Van Doorn overstapt op een vlakke premie van 15%?</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Waarom is antwoord b geen volledig antwoord op de vraag “wordt pensioen goedkoper voor Van Doorn”?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Die steeg. Bij dezelfde staffel schuift het bestand naar hogere leeftijdsklassen, dus stijgt het gewogen gemiddelde premiepercentage. Dit is een van de redenen waarom werkgevers met een oud bestand de staffel als kostenrisico ervoeren.</w:t>
      </w:r>
    </w:p>
    <w:p>
      <w:pPr>
        <w:spacing w:after="140" w:line="300"/>
      </w:pPr>
      <w:r>
        <w:rPr>
          <w:rFonts w:ascii="Calibri" w:cs="Calibri" w:eastAsia="Calibri" w:hAnsi="Calibri"/>
          <w:b w:val="false"/>
          <w:bCs w:val="false"/>
          <w:i w:val="false"/>
          <w:iCs w:val="false"/>
          <w:sz w:val="22"/>
          <w:szCs w:val="22"/>
        </w:rPr>
        <w:t xml:space="preserve">b. De last wordt gelijk aan 15% van de totale grondslag en beweegt niet langer mee met veroudering. Het kostenverloop wordt daarmee voorspelbaar — voor veel werkgevers een zelfstandig voordeel, los van het niveau.</w:t>
      </w:r>
    </w:p>
    <w:p>
      <w:pPr>
        <w:spacing w:after="140" w:line="300"/>
      </w:pPr>
      <w:r>
        <w:rPr>
          <w:rFonts w:ascii="Calibri" w:cs="Calibri" w:eastAsia="Calibri" w:hAnsi="Calibri"/>
          <w:b w:val="false"/>
          <w:bCs w:val="false"/>
          <w:i w:val="false"/>
          <w:iCs w:val="false"/>
          <w:sz w:val="22"/>
          <w:szCs w:val="22"/>
        </w:rPr>
        <w:t xml:space="preserve">c. Omdat de compensatie ontbreekt in de vergelijking. Als Van Doorn de oudere deelnemers compenseert voor het wegvallen van het hoge staffeldeel, komt daar een tijdelijke extra last bovenop, die tot uiterlijk 2037 fiscaal gefaciliteerd kan worden gespreid. Wie alleen de vlakke premie tegenover de gewogen staffel zet, presenteert een onvolledig beeld aan de directie. Deel 7 en 24.</w:t>
      </w:r>
    </w:p>
    <w:p>
      <w:pPr>
        <w:spacing w:after="100"/>
      </w:pPr>
    </w:p>
    <w:p>
      <w:pPr>
        <w:pStyle w:val="Heading2"/>
        <w:spacing w:after="120" w:before="200"/>
      </w:pPr>
      <w:r>
        <w:rPr>
          <w:rFonts w:ascii="Georgia" w:cs="Georgia" w:eastAsia="Georgia" w:hAnsi="Georgia"/>
          <w:b/>
          <w:bCs/>
          <w:color w:val="2563A8"/>
          <w:sz w:val="28"/>
          <w:szCs w:val="28"/>
        </w:rPr>
        <w:t xml:space="preserve">Opdracht 3.4 — Solidair of flexibel</w:t>
      </w:r>
    </w:p>
    <w:p>
      <w:pPr>
        <w:spacing w:after="140" w:line="300"/>
      </w:pPr>
      <w:r>
        <w:rPr>
          <w:rFonts w:ascii="Calibri" w:cs="Calibri" w:eastAsia="Calibri" w:hAnsi="Calibri"/>
          <w:b w:val="false"/>
          <w:bCs w:val="false"/>
          <w:i w:val="false"/>
          <w:iCs w:val="false"/>
          <w:sz w:val="22"/>
          <w:szCs w:val="22"/>
        </w:rPr>
        <w:t xml:space="preserve">Kies per situatie welke vorm het meest voor de hand ligt en motiveer in twee zinnen.</w:t>
      </w:r>
    </w:p>
    <w:p>
      <w:pPr>
        <w:spacing w:after="140" w:line="300"/>
      </w:pPr>
      <w:r>
        <w:rPr>
          <w:rFonts w:ascii="Calibri" w:cs="Calibri" w:eastAsia="Calibri" w:hAnsi="Calibri"/>
          <w:b w:val="false"/>
          <w:bCs w:val="false"/>
          <w:i w:val="false"/>
          <w:iCs w:val="false"/>
          <w:sz w:val="22"/>
          <w:szCs w:val="22"/>
        </w:rPr>
        <w:t xml:space="preserve">a. Bpf T&amp;I, 380.000 deelnemers, sterke cao-traditie, veel deelnemers met een laag opleidingsniveau en weinig affiniteit met beleggen.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Een adviesbureau met 60 medewerkers, gemiddelde leeftijd 34, hoog verloop, regeling bij een PPI.</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Een familiebedrijf dat expliciet zegt: “onze mensen moeten weten waar ze aan toe zijn, ook als dat minder oplevert.”</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 Een middelgroot ondernemingspensioenfonds met tweederde gepensioneerden en slapers.</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Solidair. Collectieve uitvoering past bij de traditie, en het ontbreken van individuele beleggingskeuze verlaagt de keuzebegeleidingslast bij een bestand dat daar weinig behoefte aan heeft.</w:t>
      </w:r>
    </w:p>
    <w:p>
      <w:pPr>
        <w:spacing w:after="140" w:line="300"/>
      </w:pPr>
      <w:r>
        <w:rPr>
          <w:rFonts w:ascii="Calibri" w:cs="Calibri" w:eastAsia="Calibri" w:hAnsi="Calibri"/>
          <w:b w:val="false"/>
          <w:bCs w:val="false"/>
          <w:i w:val="false"/>
          <w:iCs w:val="false"/>
          <w:sz w:val="22"/>
          <w:szCs w:val="22"/>
        </w:rPr>
        <w:t xml:space="preserve">b. Flexibel. Past bij de PPI-uitvoering, bij een jong bestand met keuzebehoefte, en bij hoog verloop waarbij deelnemers hun vermogen meenemen.</w:t>
      </w:r>
    </w:p>
    <w:p>
      <w:pPr>
        <w:spacing w:after="140" w:line="300"/>
      </w:pPr>
      <w:r>
        <w:rPr>
          <w:rFonts w:ascii="Calibri" w:cs="Calibri" w:eastAsia="Calibri" w:hAnsi="Calibri"/>
          <w:b w:val="false"/>
          <w:bCs w:val="false"/>
          <w:i w:val="false"/>
          <w:iCs w:val="false"/>
          <w:sz w:val="22"/>
          <w:szCs w:val="22"/>
        </w:rPr>
        <w:t xml:space="preserve">c. Premie-uitkeringsovereenkomst bij een verzekeraar. Zekerheid boven verwacht rendement is precies de afruil die deze vorm maakt; benoem in het advies expliciet dat het verwachte pensioen daardoor lager ligt.</w:t>
      </w:r>
    </w:p>
    <w:p>
      <w:pPr>
        <w:spacing w:after="140" w:line="300"/>
      </w:pPr>
      <w:r>
        <w:rPr>
          <w:rFonts w:ascii="Calibri" w:cs="Calibri" w:eastAsia="Calibri" w:hAnsi="Calibri"/>
          <w:b w:val="false"/>
          <w:bCs w:val="false"/>
          <w:i w:val="false"/>
          <w:iCs w:val="false"/>
          <w:sz w:val="22"/>
          <w:szCs w:val="22"/>
        </w:rPr>
        <w:t xml:space="preserve">d. Hier is de regelingsvorm niet de eerste vraag. Bij zo’n bestand gaat het vooral om wat er met de bestaande aanspraken gebeurt en of het fonds zelfstandig blijft. Wie hier direct “solidair” of “flexibel” antwoordt, beantwoordt de verkeerde vraag — precies de valkuil van Delta Chemie.</w:t>
      </w:r>
    </w:p>
    <w:p>
      <w:pPr>
        <w:spacing w:after="100"/>
      </w:pPr>
    </w:p>
    <w:p>
      <w:pPr>
        <w:pStyle w:val="Heading2"/>
        <w:spacing w:after="120" w:before="200"/>
      </w:pPr>
      <w:r>
        <w:rPr>
          <w:rFonts w:ascii="Georgia" w:cs="Georgia" w:eastAsia="Georgia" w:hAnsi="Georgia"/>
          <w:b/>
          <w:bCs/>
          <w:color w:val="2563A8"/>
          <w:sz w:val="28"/>
          <w:szCs w:val="28"/>
        </w:rPr>
        <w:t xml:space="preserve">Opdracht 3.5 — Misvattingen corrigeren</w:t>
      </w:r>
    </w:p>
    <w:p>
      <w:pPr>
        <w:spacing w:after="140" w:line="300"/>
      </w:pPr>
      <w:r>
        <w:rPr>
          <w:rFonts w:ascii="Calibri" w:cs="Calibri" w:eastAsia="Calibri" w:hAnsi="Calibri"/>
          <w:b w:val="false"/>
          <w:bCs w:val="false"/>
          <w:i w:val="false"/>
          <w:iCs w:val="false"/>
          <w:sz w:val="22"/>
          <w:szCs w:val="22"/>
        </w:rPr>
        <w:t xml:space="preserve">Corrigeer elke uitspraak in maximaal twee zinnen.</w:t>
      </w:r>
    </w:p>
    <w:p>
      <w:pPr>
        <w:pStyle w:val="ListParagraph"/>
        <w:numPr>
          <w:ilvl w:val="0"/>
          <w:numId w:val="1"/>
        </w:numPr>
        <w:spacing w:after="80"/>
      </w:pPr>
      <w:r>
        <w:rPr>
          <w:rFonts w:ascii="Calibri" w:cs="Calibri" w:eastAsia="Calibri" w:hAnsi="Calibri"/>
          <w:sz w:val="22"/>
          <w:szCs w:val="22"/>
        </w:rPr>
        <w:t xml:space="preserve">1. “In de solidaire regeling heb je geen eigen potje, in de flexibele wel.”</w:t>
      </w:r>
    </w:p>
    <w:p>
      <w:pPr>
        <w:pStyle w:val="ListParagraph"/>
        <w:numPr>
          <w:ilvl w:val="0"/>
          <w:numId w:val="1"/>
        </w:numPr>
        <w:spacing w:after="80"/>
      </w:pPr>
      <w:r>
        <w:rPr>
          <w:rFonts w:ascii="Calibri" w:cs="Calibri" w:eastAsia="Calibri" w:hAnsi="Calibri"/>
          <w:sz w:val="22"/>
          <w:szCs w:val="22"/>
        </w:rPr>
        <w:t xml:space="preserve">2. “De solidaire regeling is zekerder.”</w:t>
      </w:r>
    </w:p>
    <w:p>
      <w:pPr>
        <w:pStyle w:val="ListParagraph"/>
        <w:numPr>
          <w:ilvl w:val="0"/>
          <w:numId w:val="1"/>
        </w:numPr>
        <w:spacing w:after="80"/>
      </w:pPr>
      <w:r>
        <w:rPr>
          <w:rFonts w:ascii="Calibri" w:cs="Calibri" w:eastAsia="Calibri" w:hAnsi="Calibri"/>
          <w:sz w:val="22"/>
          <w:szCs w:val="22"/>
        </w:rPr>
        <w:t xml:space="preserve">3. “Onder de Wtp mag alleen nog de premieovereenkomst, dus verzekeraars kunnen niets meer garanderen.”</w:t>
      </w:r>
    </w:p>
    <w:p>
      <w:pPr>
        <w:pStyle w:val="ListParagraph"/>
        <w:numPr>
          <w:ilvl w:val="0"/>
          <w:numId w:val="1"/>
        </w:numPr>
        <w:spacing w:after="80"/>
      </w:pPr>
      <w:r>
        <w:rPr>
          <w:rFonts w:ascii="Calibri" w:cs="Calibri" w:eastAsia="Calibri" w:hAnsi="Calibri"/>
          <w:sz w:val="22"/>
          <w:szCs w:val="22"/>
        </w:rPr>
        <w:t xml:space="preserve">4. “Wij hebben al een beschikbarepremieregeling, dus wij zijn al Wtp-proof.”</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pStyle w:val="ListParagraph"/>
        <w:numPr>
          <w:ilvl w:val="0"/>
          <w:numId w:val="1"/>
        </w:numPr>
        <w:spacing w:after="80"/>
      </w:pPr>
      <w:r>
        <w:rPr>
          <w:rFonts w:ascii="Calibri" w:cs="Calibri" w:eastAsia="Calibri" w:hAnsi="Calibri"/>
          <w:sz w:val="22"/>
          <w:szCs w:val="22"/>
        </w:rPr>
        <w:t xml:space="preserve">1. Beide kennen een persoonlijk pensioenvermogen. Het verschil zit in de manier waarop het resultaat wordt toebedeeld en wie de beleggingsbeslissing neemt.</w:t>
      </w:r>
    </w:p>
    <w:p>
      <w:pPr>
        <w:pStyle w:val="ListParagraph"/>
        <w:numPr>
          <w:ilvl w:val="0"/>
          <w:numId w:val="1"/>
        </w:numPr>
        <w:spacing w:after="80"/>
      </w:pPr>
      <w:r>
        <w:rPr>
          <w:rFonts w:ascii="Calibri" w:cs="Calibri" w:eastAsia="Calibri" w:hAnsi="Calibri"/>
          <w:sz w:val="22"/>
          <w:szCs w:val="22"/>
        </w:rPr>
        <w:t xml:space="preserve">2. Zij is stabieler doordat schokken worden gedempt en gespreid, maar niet gegarandeerd. Zekerheid in de zin van een vast bedrag krijg je alleen via inkoop van een vaste uitkering.</w:t>
      </w:r>
    </w:p>
    <w:p>
      <w:pPr>
        <w:pStyle w:val="ListParagraph"/>
        <w:numPr>
          <w:ilvl w:val="0"/>
          <w:numId w:val="1"/>
        </w:numPr>
        <w:spacing w:after="80"/>
      </w:pPr>
      <w:r>
        <w:rPr>
          <w:rFonts w:ascii="Calibri" w:cs="Calibri" w:eastAsia="Calibri" w:hAnsi="Calibri"/>
          <w:sz w:val="22"/>
          <w:szCs w:val="22"/>
        </w:rPr>
        <w:t xml:space="preserve">3. Verzekeraars mogen de premie-uitkeringsovereenkomst aanbieden, waarbij premie direct wordt omgezet in aanspraken. Zekerheid blijft dus mogelijk, tegen een lager verwacht pensioen.</w:t>
      </w:r>
    </w:p>
    <w:p>
      <w:pPr>
        <w:pStyle w:val="ListParagraph"/>
        <w:numPr>
          <w:ilvl w:val="0"/>
          <w:numId w:val="1"/>
        </w:numPr>
        <w:spacing w:after="80"/>
      </w:pPr>
      <w:r>
        <w:rPr>
          <w:rFonts w:ascii="Calibri" w:cs="Calibri" w:eastAsia="Calibri" w:hAnsi="Calibri"/>
          <w:sz w:val="22"/>
          <w:szCs w:val="22"/>
        </w:rPr>
        <w:t xml:space="preserve">4. Alleen als de premie vlak is, binnen de fiscale grens valt en het nabestaandenpensioen aan het nieuwe kader voldoet. Een beschikbarepremieregeling met staffel is juist het schoolvoorbeeld van niet-conform.</w:t>
      </w:r>
    </w:p>
    <w:p>
      <w:pPr>
        <w:spacing w:after="140" w:line="300"/>
      </w:pPr>
      <w:r>
        <w:rPr>
          <w:rFonts w:ascii="Calibri" w:cs="Calibri" w:eastAsia="Calibri" w:hAnsi="Calibri"/>
          <w:b w:val="false"/>
          <w:bCs w:val="false"/>
          <w:i w:val="false"/>
          <w:iCs w:val="false"/>
          <w:sz w:val="22"/>
          <w:szCs w:val="22"/>
        </w:rPr>
        <w:t xml:space="preserve">Uitspraak 4 is de gevaarlijkste, omdat hij plausibel klinkt en in de markt veel voorkomt. Adviseurs horen hem regelmatig van werkgevers die menen dat zij al klaar zijn.</w:t>
      </w:r>
    </w:p>
    <w:p>
      <w:pPr>
        <w:spacing w:after="100"/>
      </w:pPr>
    </w:p>
    <w:p>
      <w:pPr>
        <w:pStyle w:val="Heading2"/>
        <w:spacing w:after="120" w:before="200"/>
      </w:pPr>
      <w:r>
        <w:rPr>
          <w:rFonts w:ascii="Georgia" w:cs="Georgia" w:eastAsia="Georgia" w:hAnsi="Georgia"/>
          <w:b/>
          <w:bCs/>
          <w:color w:val="2563A8"/>
          <w:sz w:val="28"/>
          <w:szCs w:val="28"/>
        </w:rPr>
        <w:t xml:space="preserve">Opdracht 3.6 — De premie-uitkeringsovereenkomst doordenken</w:t>
      </w:r>
    </w:p>
    <w:p>
      <w:pPr>
        <w:spacing w:after="140" w:line="300"/>
      </w:pPr>
      <w:r>
        <w:rPr>
          <w:rFonts w:ascii="Calibri" w:cs="Calibri" w:eastAsia="Calibri" w:hAnsi="Calibri"/>
          <w:b w:val="false"/>
          <w:bCs w:val="false"/>
          <w:i w:val="false"/>
          <w:iCs w:val="false"/>
          <w:sz w:val="22"/>
          <w:szCs w:val="22"/>
        </w:rPr>
        <w:t xml:space="preserve">a. Waarom mag een PPI deze vorm niet aanbieden?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Waarom een fonds niet?</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Een deelnemer met een premie-uitkeringsovereenkomst wil op pensioendatum shoppen bij een andere aanbieder. Wat is het probleem?</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Omdat de PPI geen verzekeringstechnisch risico mag dragen, en het inkopen van levenslange aanspraken betekent het overnemen van langleven- en renterisico.</w:t>
      </w:r>
    </w:p>
    <w:p>
      <w:pPr>
        <w:spacing w:after="140" w:line="300"/>
      </w:pPr>
      <w:r>
        <w:rPr>
          <w:rFonts w:ascii="Calibri" w:cs="Calibri" w:eastAsia="Calibri" w:hAnsi="Calibri"/>
          <w:b w:val="false"/>
          <w:bCs w:val="false"/>
          <w:i w:val="false"/>
          <w:iCs w:val="false"/>
          <w:sz w:val="22"/>
          <w:szCs w:val="22"/>
        </w:rPr>
        <w:t xml:space="preserve">b. De vorm is in de wet aan verzekeraars voorbehouden; materieel sluit hij aan bij het Solvency II-kader waarin een verzekeraar kapitaal aanhoudt voor gegarandeerde verplichtingen. Een fonds werkt met een collectief vermogen zonder aandeelhouderskapitaal.</w:t>
      </w:r>
    </w:p>
    <w:p>
      <w:pPr>
        <w:spacing w:after="140" w:line="300"/>
      </w:pPr>
      <w:r>
        <w:rPr>
          <w:rFonts w:ascii="Calibri" w:cs="Calibri" w:eastAsia="Calibri" w:hAnsi="Calibri"/>
          <w:b w:val="false"/>
          <w:bCs w:val="false"/>
          <w:i w:val="false"/>
          <w:iCs w:val="false"/>
          <w:sz w:val="22"/>
          <w:szCs w:val="22"/>
        </w:rPr>
        <w:t xml:space="preserve">c. Er is geen kapitaal om mee te shoppen — er zijn aanspraken die al zijn ingekocht bij deze verzekeraar. Shoppen veronderstelt een kapitaal op de pensioendatum. Dit is een punt dat in de keuzebegeleiding vooraf duidelijk moet zijn, niet achteraf (deel 13 en 17).</w:t>
      </w:r>
    </w:p>
    <w:p>
      <w:pPr>
        <w:spacing w:after="100"/>
      </w:pPr>
    </w:p>
    <w:p>
      <w:pPr>
        <w:pStyle w:val="Heading2"/>
        <w:spacing w:after="120" w:before="200"/>
      </w:pPr>
      <w:r>
        <w:rPr>
          <w:rFonts w:ascii="Georgia" w:cs="Georgia" w:eastAsia="Georgia" w:hAnsi="Georgia"/>
          <w:b/>
          <w:bCs/>
          <w:color w:val="2563A8"/>
          <w:sz w:val="28"/>
          <w:szCs w:val="28"/>
        </w:rPr>
        <w:t xml:space="preserve">Opdracht 3.7 — Opbouw versus bestaande aanspraken *</w:t>
      </w:r>
    </w:p>
    <w:p>
      <w:pPr>
        <w:spacing w:after="140" w:line="300"/>
      </w:pPr>
      <w:r>
        <w:rPr>
          <w:rFonts w:ascii="Calibri" w:cs="Calibri" w:eastAsia="Calibri" w:hAnsi="Calibri"/>
          <w:b w:val="false"/>
          <w:bCs w:val="false"/>
          <w:i w:val="false"/>
          <w:iCs w:val="false"/>
          <w:sz w:val="22"/>
          <w:szCs w:val="22"/>
        </w:rPr>
        <w:t xml:space="preserve">Karel Sanders heeft:</w:t>
      </w:r>
    </w:p>
    <w:p>
      <w:pPr>
        <w:pStyle w:val="ListParagraph"/>
        <w:numPr>
          <w:ilvl w:val="0"/>
          <w:numId w:val="1"/>
        </w:numPr>
        <w:spacing w:after="80"/>
      </w:pPr>
      <w:r>
        <w:rPr>
          <w:rFonts w:ascii="Calibri" w:cs="Calibri" w:eastAsia="Calibri" w:hAnsi="Calibri"/>
          <w:sz w:val="22"/>
          <w:szCs w:val="22"/>
        </w:rPr>
        <w:t xml:space="preserve">een kapitaal van € [BEDRAG] opgebouwd onder de staffelregeling bij Meridiaan (2010–2026);</w:t>
      </w:r>
    </w:p>
    <w:p>
      <w:pPr>
        <w:pStyle w:val="ListParagraph"/>
        <w:numPr>
          <w:ilvl w:val="0"/>
          <w:numId w:val="1"/>
        </w:numPr>
        <w:spacing w:after="80"/>
      </w:pPr>
      <w:r>
        <w:rPr>
          <w:rFonts w:ascii="Calibri" w:cs="Calibri" w:eastAsia="Calibri" w:hAnsi="Calibri"/>
          <w:sz w:val="22"/>
          <w:szCs w:val="22"/>
        </w:rPr>
        <w:t xml:space="preserve">premievrije aanspraken uit een middelloonregeling bij een vorige werkgever (1994–2010);</w:t>
      </w:r>
    </w:p>
    <w:p>
      <w:pPr>
        <w:pStyle w:val="ListParagraph"/>
        <w:numPr>
          <w:ilvl w:val="0"/>
          <w:numId w:val="1"/>
        </w:numPr>
        <w:spacing w:after="80"/>
      </w:pPr>
      <w:r>
        <w:rPr>
          <w:rFonts w:ascii="Calibri" w:cs="Calibri" w:eastAsia="Calibri" w:hAnsi="Calibri"/>
          <w:sz w:val="22"/>
          <w:szCs w:val="22"/>
        </w:rPr>
        <w:t xml:space="preserve">vanaf 1 januari 2027 een vlakke premie in de nieuwe regeling.</w:t>
      </w:r>
    </w:p>
    <w:p>
      <w:pPr>
        <w:spacing w:after="140" w:line="300"/>
      </w:pPr>
      <w:r>
        <w:rPr>
          <w:rFonts w:ascii="Calibri" w:cs="Calibri" w:eastAsia="Calibri" w:hAnsi="Calibri"/>
          <w:b w:val="false"/>
          <w:bCs w:val="false"/>
          <w:i w:val="false"/>
          <w:iCs w:val="false"/>
          <w:sz w:val="22"/>
          <w:szCs w:val="22"/>
        </w:rPr>
        <w:t xml:space="preserve">a. Welke van deze drie moet voldoen aan de Wtp-eisen?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Wat gebeurt er met de andere twee?</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Welke praktische vraag stelt Karel hier vrijwel zeker over, en wat is je antwoord?</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Alleen de nieuwe opbouw vanaf 2027. De Wtp-eisen zien op opbouw, niet op wat al is opgebouwd.</w:t>
      </w:r>
    </w:p>
    <w:p>
      <w:pPr>
        <w:spacing w:after="140" w:line="300"/>
      </w:pPr>
      <w:r>
        <w:rPr>
          <w:rFonts w:ascii="Calibri" w:cs="Calibri" w:eastAsia="Calibri" w:hAnsi="Calibri"/>
          <w:b w:val="false"/>
          <w:bCs w:val="false"/>
          <w:i w:val="false"/>
          <w:iCs w:val="false"/>
          <w:sz w:val="22"/>
          <w:szCs w:val="22"/>
        </w:rPr>
        <w:t xml:space="preserve">b. Beide blijven staan onder hun eigen voorwaarden, tenzij er een bewuste actie volgt: waardeoverdracht op verzoek van Karel, of een collectieve waardeoverdracht. Bij een fonds dat invaart, worden bestaande aanspraken wél omgezet — maar dat geldt hier niet voor het verzekerde deel.</w:t>
      </w:r>
    </w:p>
    <w:p>
      <w:pPr>
        <w:spacing w:after="140" w:line="300"/>
      </w:pPr>
      <w:r>
        <w:rPr>
          <w:rFonts w:ascii="Calibri" w:cs="Calibri" w:eastAsia="Calibri" w:hAnsi="Calibri"/>
          <w:b w:val="false"/>
          <w:bCs w:val="false"/>
          <w:i w:val="false"/>
          <w:iCs w:val="false"/>
          <w:sz w:val="22"/>
          <w:szCs w:val="22"/>
        </w:rPr>
        <w:t xml:space="preserve">c. “Kan ik alles niet gewoon bij elkaar zetten?” Antwoord: soms, via waardeoverdracht, maar dat is een aparte beslissing met eigen voor- en nadelen (garanties die je opgeeft, kosten, verschil in uitkeringsvorm). Nooit toezeggen dat samenvoegen vanzelfsprekend gunstig is. Deel 9 behandelt waardeoverdracht.</w:t>
      </w:r>
    </w:p>
    <w:p>
      <w:pPr>
        <w:spacing w:after="140" w:line="300"/>
      </w:pPr>
      <w:r>
        <w:rPr>
          <w:rFonts w:ascii="Calibri" w:cs="Calibri" w:eastAsia="Calibri" w:hAnsi="Calibri"/>
          <w:b w:val="false"/>
          <w:bCs w:val="false"/>
          <w:i w:val="false"/>
          <w:iCs w:val="false"/>
          <w:sz w:val="22"/>
          <w:szCs w:val="22"/>
        </w:rPr>
        <w:t xml:space="preserve">Beoordelingslijn bij c: het antwoord moet de vraag serieus nemen én de nuance houden. Wie “ja hoor, dat regelen we” antwoordt, geeft een toezegging die hij niet kan nakomen.</w:t>
      </w:r>
    </w:p>
    <w:p>
      <w:pPr>
        <w:spacing w:after="100"/>
      </w:pPr>
    </w:p>
    <w:p>
      <w:pPr>
        <w:pStyle w:val="Heading2"/>
        <w:spacing w:after="120" w:before="200"/>
      </w:pPr>
      <w:r>
        <w:rPr>
          <w:rFonts w:ascii="Georgia" w:cs="Georgia" w:eastAsia="Georgia" w:hAnsi="Georgia"/>
          <w:b/>
          <w:bCs/>
          <w:color w:val="2563A8"/>
          <w:sz w:val="28"/>
          <w:szCs w:val="28"/>
        </w:rPr>
        <w:t xml:space="preserve">Opdracht 3.8 — Praktijkopdracht</w:t>
      </w:r>
    </w:p>
    <w:p>
      <w:pPr>
        <w:spacing w:after="140" w:line="300"/>
      </w:pPr>
      <w:r>
        <w:rPr>
          <w:rFonts w:ascii="Calibri" w:cs="Calibri" w:eastAsia="Calibri" w:hAnsi="Calibri"/>
          <w:b w:val="false"/>
          <w:bCs w:val="false"/>
          <w:i w:val="false"/>
          <w:iCs w:val="false"/>
          <w:sz w:val="22"/>
          <w:szCs w:val="22"/>
        </w:rPr>
        <w:t xml:space="preserve">Zoek de regeling die je in opdracht 1.8 hebt geanalyseerd er weer bij. Typeer haar met de vier signalen uit paragraaf 3.7 en noteer welke aanvullende informatie je nodig hebt om vraag 3 van de analysevragen (“is zij Wtp-conform?”) te kunnen beantwoorden. Neem dit mee naar deel 5.</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Beoordelingscriteria: correcte typering met vindplaats; minimaal drie benoemde informatiebehoeften (premiehoogte ten opzichte van de fiscale grens, vorm van het nabestaandenpensioen, datum van laatste wijziging, of de regeling gesloten is voor nieuwe deelnemers). De deelnemer die hier al een oordeel velt zonder die informatie, herhaalt de fout uit opdracht 3.5.4.</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1 — Fundament · Deel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2026-08-17T11:22:43.338Z</dcterms:created>
  <dcterms:modified xsi:type="dcterms:W3CDTF">2026-08-17T11:22:43.338Z</dcterms:modified>
</cp:coreProperties>
</file>

<file path=docProps/custom.xml><?xml version="1.0" encoding="utf-8"?>
<Properties xmlns="http://schemas.openxmlformats.org/officeDocument/2006/custom-properties" xmlns:vt="http://schemas.openxmlformats.org/officeDocument/2006/docPropsVTypes"/>
</file>