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Docentenhandleiding — Deel 4 — Docentenhandleiding</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4 — Docentenhandleiding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Eén dagdeel (3 uur inclusief pauze)</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Doel van dit dagdeel</w:t>
      </w:r>
    </w:p>
    <w:p>
      <w:pPr>
        <w:spacing w:after="140" w:line="300"/>
      </w:pPr>
      <w:r>
        <w:rPr>
          <w:rFonts w:ascii="Calibri" w:cs="Calibri" w:eastAsia="Calibri" w:hAnsi="Calibri"/>
          <w:b w:val="false"/>
          <w:bCs w:val="false"/>
          <w:i w:val="false"/>
          <w:iCs w:val="false"/>
          <w:sz w:val="22"/>
          <w:szCs w:val="22"/>
        </w:rPr>
        <w:t xml:space="preserve">Eén reflex moet blijven hangen: </w:t>
      </w:r>
      <w:r>
        <w:rPr>
          <w:rFonts w:ascii="Calibri" w:cs="Calibri" w:eastAsia="Calibri" w:hAnsi="Calibri"/>
          <w:b/>
          <w:bCs/>
          <w:i w:val="false"/>
          <w:iCs w:val="false"/>
          <w:sz w:val="22"/>
          <w:szCs w:val="22"/>
        </w:rPr>
        <w:t xml:space="preserve">eerst de werkingssfeer, dan pas de regeling.</w:t>
      </w:r>
      <w:r>
        <w:rPr>
          <w:rFonts w:ascii="Calibri" w:cs="Calibri" w:eastAsia="Calibri" w:hAnsi="Calibri"/>
          <w:b w:val="false"/>
          <w:bCs w:val="false"/>
          <w:i w:val="false"/>
          <w:iCs w:val="false"/>
          <w:sz w:val="22"/>
          <w:szCs w:val="22"/>
        </w:rPr>
        <w:t xml:space="preserve"> Alles in dit dagdeel dient dat doel.</w:t>
      </w:r>
    </w:p>
    <w:p>
      <w:pPr>
        <w:spacing w:after="140" w:line="300"/>
      </w:pPr>
      <w:r>
        <w:rPr>
          <w:rFonts w:ascii="Calibri" w:cs="Calibri" w:eastAsia="Calibri" w:hAnsi="Calibri"/>
          <w:b w:val="false"/>
          <w:bCs w:val="false"/>
          <w:i w:val="false"/>
          <w:iCs w:val="false"/>
          <w:sz w:val="22"/>
          <w:szCs w:val="22"/>
        </w:rPr>
        <w:t xml:space="preserve">Het tweede doel is dat deelnemers de gelijkwaardigheidseis begrijpen als een doorlopende voorwaarde, niet als een eenmalige horde. Dat is het punt waar de transitie voor vrijgestelde werkgevers extra complex wordt, en waar de fondsen- en verzekeringswereld elkaar direct raken.</w:t>
      </w:r>
    </w:p>
    <w:p>
      <w:pPr>
        <w:spacing w:after="100"/>
      </w:pPr>
    </w:p>
    <w:p>
      <w:pPr>
        <w:pStyle w:val="Heading2"/>
        <w:spacing w:after="120" w:before="200"/>
      </w:pPr>
      <w:r>
        <w:rPr>
          <w:rFonts w:ascii="Georgia" w:cs="Georgia" w:eastAsia="Georgia" w:hAnsi="Georgia"/>
          <w:b/>
          <w:bCs/>
          <w:color w:val="2563A8"/>
          <w:sz w:val="28"/>
          <w:szCs w:val="28"/>
        </w:rPr>
        <w:t xml:space="preserve">Tijdschema</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is een verplichtstelling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Werkingssfeer + opdracht 4.1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 figuur 4-1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naheffingsscenario, opdracht 4.2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 gesprek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Vrijstellingsgronden + opdracht 4.3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en duo’s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Gelijkwaardigheid en de transitie, opdracht 4.4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Delta Chemie / omgekeerde beweging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4.7, huiswerk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spacing w:after="100"/>
      </w:pPr>
    </w:p>
    <w:p>
      <w:pPr>
        <w:pStyle w:val="Heading2"/>
        <w:spacing w:after="120" w:before="200"/>
      </w:pPr>
      <w:r>
        <w:rPr>
          <w:rFonts w:ascii="Georgia" w:cs="Georgia" w:eastAsia="Georgia" w:hAnsi="Georgia"/>
          <w:b/>
          <w:bCs/>
          <w:color w:val="2563A8"/>
          <w:sz w:val="28"/>
          <w:szCs w:val="28"/>
        </w:rPr>
        <w:t xml:space="preserve">Aandachtspunten per onderdeel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Verplichtstelling.</w:t>
      </w:r>
      <w:r>
        <w:rPr>
          <w:rFonts w:ascii="Calibri" w:cs="Calibri" w:eastAsia="Calibri" w:hAnsi="Calibri"/>
          <w:b w:val="false"/>
          <w:bCs w:val="false"/>
          <w:i w:val="false"/>
          <w:iCs w:val="false"/>
          <w:sz w:val="22"/>
          <w:szCs w:val="22"/>
        </w:rPr>
        <w:t xml:space="preserve"> Begin met de vraag: “Wie van jullie heeft zich ooit aangemeld bij zijn pensioenfonds?” Vrijwel niemand. Dat maakt het punt dat aansluiting van rechtswege ontstaat direct concreet: aanmelding is administratief, niet constitutief.</w:t>
      </w:r>
    </w:p>
    <w:p>
      <w:pPr>
        <w:spacing w:after="140" w:line="300"/>
      </w:pPr>
      <w:r>
        <w:rPr>
          <w:rFonts w:ascii="Calibri" w:cs="Calibri" w:eastAsia="Calibri" w:hAnsi="Calibri"/>
          <w:b w:val="false"/>
          <w:bCs w:val="false"/>
          <w:i w:val="false"/>
          <w:iCs w:val="false"/>
          <w:sz w:val="22"/>
          <w:szCs w:val="22"/>
        </w:rPr>
        <w:t xml:space="preserve">Besteed één minuut aan de ratio (gelijk speelveld, geen concurrentie op pensioen, ononderbroken opbouw bij baanwisseling binnen de sector). Deelnemers uit de verzekerde wereld ervaren de verplichtstelling soms als markbeperking; het helpt als zij de bedoeling kennen, ook als zij het er niet mee eens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Werkingssfeer.</w:t>
      </w:r>
      <w:r>
        <w:rPr>
          <w:rFonts w:ascii="Calibri" w:cs="Calibri" w:eastAsia="Calibri" w:hAnsi="Calibri"/>
          <w:b w:val="false"/>
          <w:bCs w:val="false"/>
          <w:i w:val="false"/>
          <w:iCs w:val="false"/>
          <w:sz w:val="22"/>
          <w:szCs w:val="22"/>
        </w:rPr>
        <w:t xml:space="preserve"> Toon één echte werkingssfeertekst. Kies er een met uitzonderingen en een hoofdzakelijkheidscriterium. Laat deelnemers hem hardop lezen — de juridische stijl van deze teksten is een leerpunt op zich, want zij zijn niet gemaakt om te worden begrepen door de werkgever die eronder valt.</w:t>
      </w:r>
    </w:p>
    <w:p>
      <w:pPr>
        <w:spacing w:after="140" w:line="300"/>
      </w:pPr>
      <w:r>
        <w:rPr>
          <w:rFonts w:ascii="Calibri" w:cs="Calibri" w:eastAsia="Calibri" w:hAnsi="Calibri"/>
          <w:b w:val="false"/>
          <w:bCs w:val="false"/>
          <w:i w:val="false"/>
          <w:iCs w:val="false"/>
          <w:sz w:val="22"/>
          <w:szCs w:val="22"/>
        </w:rPr>
        <w:t xml:space="preserve">Bij opdracht 4.1 is het gewenste eindresultaat </w:t>
      </w:r>
      <w:r>
        <w:rPr>
          <w:rFonts w:ascii="Calibri" w:cs="Calibri" w:eastAsia="Calibri" w:hAnsi="Calibri"/>
          <w:b w:val="false"/>
          <w:bCs w:val="false"/>
          <w:i/>
          <w:iCs/>
          <w:sz w:val="22"/>
          <w:szCs w:val="22"/>
        </w:rPr>
        <w:t xml:space="preserve">niet</w:t>
      </w:r>
      <w:r>
        <w:rPr>
          <w:rFonts w:ascii="Calibri" w:cs="Calibri" w:eastAsia="Calibri" w:hAnsi="Calibri"/>
          <w:b w:val="false"/>
          <w:bCs w:val="false"/>
          <w:i w:val="false"/>
          <w:iCs w:val="false"/>
          <w:sz w:val="22"/>
          <w:szCs w:val="22"/>
        </w:rPr>
        <w:t xml:space="preserve"> dat de groep vier goede antwoorden geeft. Het gewenste eindresultaat is dat zij bij drie van de vier “dat weet ik niet zeker, ik zou dit moeten vragen” zeggen. Beloon dat expliciet. Als de groep te stellig is, voeg dan casus e toe: hetzelfde installatiebedrijf, maar de helft van de omzet komt uit onderhoudscontracten die door onderaannemers worden uitgevoerd.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Naheffingsscenario.</w:t>
      </w:r>
      <w:r>
        <w:rPr>
          <w:rFonts w:ascii="Calibri" w:cs="Calibri" w:eastAsia="Calibri" w:hAnsi="Calibri"/>
          <w:b w:val="false"/>
          <w:bCs w:val="false"/>
          <w:i w:val="false"/>
          <w:iCs w:val="false"/>
          <w:sz w:val="22"/>
          <w:szCs w:val="22"/>
        </w:rPr>
        <w:t xml:space="preserve"> Dit is het emotionele hoogtepunt van het dagdeel. Reken de premie ruwweg voor op de flap: 25 medewerkers, elf jaar, een gemiddelde grondslag — het bedrag loopt snel op. Laat de groep het effect voelen voordat je vraag d stelt over aansprakelijkheid.</w:t>
      </w:r>
    </w:p>
    <w:p>
      <w:pPr>
        <w:spacing w:after="140" w:line="300"/>
      </w:pPr>
      <w:r>
        <w:rPr>
          <w:rFonts w:ascii="Calibri" w:cs="Calibri" w:eastAsia="Calibri" w:hAnsi="Calibri"/>
          <w:b w:val="false"/>
          <w:bCs w:val="false"/>
          <w:i w:val="false"/>
          <w:iCs w:val="false"/>
          <w:sz w:val="22"/>
          <w:szCs w:val="22"/>
        </w:rPr>
        <w:t xml:space="preserve">Onderdeel c (de werknemers zijn beter af) verrast bijna altijd. Het is een belangrijk inzicht: bij deze fout is er geen benadeelde deelnemer, waardoor het probleem volledig bij werkgever en adviseur ligt en er geen partij is met belang bij een coulante oplossing.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Vrijstellingsgronden.</w:t>
      </w:r>
      <w:r>
        <w:rPr>
          <w:rFonts w:ascii="Calibri" w:cs="Calibri" w:eastAsia="Calibri" w:hAnsi="Calibri"/>
          <w:b w:val="false"/>
          <w:bCs w:val="false"/>
          <w:i w:val="false"/>
          <w:iCs w:val="false"/>
          <w:sz w:val="22"/>
          <w:szCs w:val="22"/>
        </w:rPr>
        <w:t xml:space="preserve"> Houd het overzichtelijk; de gronden hoeven niet uit het hoofd te worden geleerd, de vindplaats en de kernvoorwaarde wel. De kernvoorwaarde is gelijkwaardigheid, en die is doorlopend.</w:t>
      </w:r>
    </w:p>
    <w:p>
      <w:pPr>
        <w:spacing w:after="140" w:line="300"/>
      </w:pPr>
      <w:r>
        <w:rPr>
          <w:rFonts w:ascii="Calibri" w:cs="Calibri" w:eastAsia="Calibri" w:hAnsi="Calibri"/>
          <w:b w:val="false"/>
          <w:bCs w:val="false"/>
          <w:i w:val="false"/>
          <w:iCs w:val="false"/>
          <w:sz w:val="22"/>
          <w:szCs w:val="22"/>
        </w:rPr>
        <w:t xml:space="preserve">Waarschuw expliciet bij de rendementsgrond: er zit vrijwel altijd iemand in de zaal die deze route al eens door een klant heeft horen bepleiten. Het antwoord is: de grond bestaat, de criteria zijn strikt, en het is geen ontsnappingsroute.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Gelijkwaardigheid en transitie (4.4).</w:t>
      </w:r>
      <w:r>
        <w:rPr>
          <w:rFonts w:ascii="Calibri" w:cs="Calibri" w:eastAsia="Calibri" w:hAnsi="Calibri"/>
          <w:b w:val="false"/>
          <w:bCs w:val="false"/>
          <w:i w:val="false"/>
          <w:iCs w:val="false"/>
          <w:sz w:val="22"/>
          <w:szCs w:val="22"/>
        </w:rPr>
        <w:t xml:space="preserve"> Dit is de moeilijkste opdracht van niveau 1 tot nu toe en de eerste waarin het overgangsrecht opduikt zonder dat het is uitgelegd. Dat is bedoeld. Laat de vragen die opkomen — “mag dat dan, die staffel voortzetten?” — expliciet noteren op de flap “Deel 6”. Zeg erbij dat deel 6 hier volledig antwoord op geeft.</w:t>
      </w:r>
    </w:p>
    <w:p>
      <w:pPr>
        <w:spacing w:after="140" w:line="300"/>
      </w:pPr>
      <w:r>
        <w:rPr>
          <w:rFonts w:ascii="Calibri" w:cs="Calibri" w:eastAsia="Calibri" w:hAnsi="Calibri"/>
          <w:b w:val="false"/>
          <w:bCs w:val="false"/>
          <w:i w:val="false"/>
          <w:iCs w:val="false"/>
          <w:sz w:val="22"/>
          <w:szCs w:val="22"/>
        </w:rPr>
        <w:t xml:space="preserve">Wat hier wél moet landen: een vrijgestelde werkgever kan zijn transitie niet los van het fonds plannen. Dat is een planningsinzicht dat in de praktijk te laat wordt opgemerkt.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Scenario C (aansluiten bij het fonds).</w:t>
      </w:r>
      <w:r>
        <w:rPr>
          <w:rFonts w:ascii="Calibri" w:cs="Calibri" w:eastAsia="Calibri" w:hAnsi="Calibri"/>
          <w:b w:val="false"/>
          <w:bCs w:val="false"/>
          <w:i w:val="false"/>
          <w:iCs w:val="false"/>
          <w:sz w:val="22"/>
          <w:szCs w:val="22"/>
        </w:rPr>
        <w:t xml:space="preserve"> Let op de reflex in de zaal. Adviseurs uit de verzekerde markt behandelen dit vaak als verliesscenario. Corrigeer neutraal: voor een deel van de werkgevers is dit de rationele uitkomst, zeker bij kleine bestanden en hoge uitvoeringslast. Wie het scenario niet serieus in beeld brengt, adviseert niet volledig.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Opdracht 4.7.</w:t>
      </w:r>
      <w:r>
        <w:rPr>
          <w:rFonts w:ascii="Calibri" w:cs="Calibri" w:eastAsia="Calibri" w:hAnsi="Calibri"/>
          <w:b w:val="false"/>
          <w:bCs w:val="false"/>
          <w:i w:val="false"/>
          <w:iCs w:val="false"/>
          <w:sz w:val="22"/>
          <w:szCs w:val="22"/>
        </w:rPr>
        <w:t xml:space="preserve"> Sluit hiermee af; het is de samenvatting van het dagdeel in één casus. Laat de deelnemers de ontbrekende zin zelf formuleren die in de offerte had moeten staan.</w:t>
      </w:r>
    </w:p>
    <w:p>
      <w:pPr>
        <w:spacing w:after="100"/>
      </w:pPr>
    </w:p>
    <w:p>
      <w:pPr>
        <w:pStyle w:val="Heading2"/>
        <w:spacing w:after="120" w:before="200"/>
      </w:pPr>
      <w:r>
        <w:rPr>
          <w:rFonts w:ascii="Georgia" w:cs="Georgia" w:eastAsia="Georgia" w:hAnsi="Georgia"/>
          <w:b/>
          <w:bCs/>
          <w:color w:val="2563A8"/>
          <w:sz w:val="28"/>
          <w:szCs w:val="28"/>
        </w:rPr>
        <w:t xml:space="preserve">Veelgestelde vragen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“Hoe weet ik zeker of een bedrijf onder een werkingssfeer valt?”</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Zeker weten kan alleen via een werkingssfeeronderzoek en, in laatste instantie, via de rechter. Wat je wél kunt: de feitelijke activiteit vastleggen, de tekst raadplegen, het fonds bevragen en je afweging documenteren. Dat laatste is het verschil tussen een verdedigbaar en een onverdedigbaar advies.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“Kan een vrijstelling worden ingetrokken?”</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Ja, als niet meer aan de voorwaarden wordt voldaan. Daarom is de gelijkwaardigheidstoets bij een regelingswijziging geen formaliteit.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“Geldt de verplichtstelling ook voor de dga?”</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Doorgaans niet, omdat de dga geen werknemer is in de zin van de regeling. Het hangt af van de definitie in het verplichtstellingsbesluit en van de feitelijke gezagsverhouding. Parkeer voor deel 26.</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gebeurt er met de verplichtstelling onder de Wtp?”</w:t>
      </w:r>
      <w:r>
        <w:rPr>
          <w:rFonts w:ascii="Calibri" w:cs="Calibri" w:eastAsia="Calibri" w:hAnsi="Calibri"/>
          <w:b w:val="false"/>
          <w:bCs w:val="false"/>
          <w:i w:val="false"/>
          <w:iCs w:val="false"/>
          <w:sz w:val="22"/>
          <w:szCs w:val="22"/>
        </w:rPr>
        <w:t xml:space="preserve"/>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Het instrument blijft bestaan; de inhoud van de verplicht gestelde regeling verandert. Dat is een belangrijk onderscheid: de Wtp verandert wát er verplicht is, niet dát er verplicht kan worden gesteld.</w:t>
      </w:r>
    </w:p>
    <w:p>
      <w:pPr>
        <w:spacing w:after="100"/>
      </w:pPr>
    </w:p>
    <w:p>
      <w:pPr>
        <w:pStyle w:val="Heading2"/>
        <w:spacing w:after="120" w:before="200"/>
      </w:pPr>
      <w:r>
        <w:rPr>
          <w:rFonts w:ascii="Georgia" w:cs="Georgia" w:eastAsia="Georgia" w:hAnsi="Georgia"/>
          <w:b/>
          <w:bCs/>
          <w:color w:val="2563A8"/>
          <w:sz w:val="28"/>
          <w:szCs w:val="28"/>
        </w:rPr>
        <w:t xml:space="preserve">Voorbereiding en materiaal</w:t>
      </w:r>
    </w:p>
    <w:p>
      <w:pPr>
        <w:pStyle w:val="ListParagraph"/>
        <w:numPr>
          <w:ilvl w:val="0"/>
          <w:numId w:val="1"/>
        </w:numPr>
        <w:spacing w:after="80"/>
      </w:pPr>
      <w:r>
        <w:rPr>
          <w:rFonts w:ascii="Calibri" w:cs="Calibri" w:eastAsia="Calibri" w:hAnsi="Calibri"/>
          <w:sz w:val="22"/>
          <w:szCs w:val="22"/>
        </w:rPr>
        <w:t xml:space="preserve">Eén actuele, uitgeprinte werkingssfeertekst met uitzonderingen</w:t>
      </w:r>
    </w:p>
    <w:p>
      <w:pPr>
        <w:pStyle w:val="ListParagraph"/>
        <w:numPr>
          <w:ilvl w:val="0"/>
          <w:numId w:val="1"/>
        </w:numPr>
        <w:spacing w:after="80"/>
      </w:pPr>
      <w:r>
        <w:rPr>
          <w:rFonts w:ascii="Calibri" w:cs="Calibri" w:eastAsia="Calibri" w:hAnsi="Calibri"/>
          <w:sz w:val="22"/>
          <w:szCs w:val="22"/>
        </w:rPr>
        <w:t xml:space="preserve">Rekenblad of flap voor de premieberekening bij opdracht 4.2</w:t>
      </w:r>
    </w:p>
    <w:p>
      <w:pPr>
        <w:pStyle w:val="ListParagraph"/>
        <w:numPr>
          <w:ilvl w:val="0"/>
          <w:numId w:val="1"/>
        </w:numPr>
        <w:spacing w:after="80"/>
      </w:pPr>
      <w:r>
        <w:rPr>
          <w:rFonts w:ascii="Calibri" w:cs="Calibri" w:eastAsia="Calibri" w:hAnsi="Calibri"/>
          <w:sz w:val="22"/>
          <w:szCs w:val="22"/>
        </w:rPr>
        <w:t xml:space="preserve">Flap “Deel 6” voor de overgangsrechtvragen die hier opkomen — die komen zeker</w:t>
      </w:r>
    </w:p>
    <w:p>
      <w:pPr>
        <w:pStyle w:val="ListParagraph"/>
        <w:numPr>
          <w:ilvl w:val="0"/>
          <w:numId w:val="1"/>
        </w:numPr>
        <w:spacing w:after="80"/>
      </w:pPr>
      <w:r>
        <w:rPr>
          <w:rFonts w:ascii="Calibri" w:cs="Calibri" w:eastAsia="Calibri" w:hAnsi="Calibri"/>
          <w:sz w:val="22"/>
          <w:szCs w:val="22"/>
        </w:rPr>
        <w:t xml:space="preserve">Controleer of er recente wijzigingen zijn in verplichtstellingen die voor de groep relevant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Huiswerk:</w:t>
      </w:r>
      <w:r>
        <w:rPr>
          <w:rFonts w:ascii="Calibri" w:cs="Calibri" w:eastAsia="Calibri" w:hAnsi="Calibri"/>
          <w:b w:val="false"/>
          <w:bCs w:val="false"/>
          <w:i w:val="false"/>
          <w:iCs w:val="false"/>
          <w:sz w:val="22"/>
          <w:szCs w:val="22"/>
        </w:rPr>
        <w:t xml:space="preserve"> opdracht 4.8. Samen met de resultaten van 1.8 en 3.8 vormt dit het eigen dossier waarmee de deelnemer in deel 5 de conformiteitstoets uitvoert. Wijs erop dat wie deze drie huiswerkopdrachten heeft gemaakt, in deel 5 met een echt dossier werkt in plaats van met een casus — dat verhoogt de opbrengst aanzienlijk.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2026-08-17T11:22:43.554Z</dcterms:created>
  <dcterms:modified xsi:type="dcterms:W3CDTF">2026-08-17T11:22:43.554Z</dcterms:modified>
</cp:coreProperties>
</file>

<file path=docProps/custom.xml><?xml version="1.0" encoding="utf-8"?>
<Properties xmlns="http://schemas.openxmlformats.org/officeDocument/2006/custom-properties" xmlns:vt="http://schemas.openxmlformats.org/officeDocument/2006/docPropsVTypes"/>
</file>