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4 — Verplichtstelling, werkingssfeer en vrijstelling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4 — Verplichtstelling, werkingssfeer en vrijstelling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4.1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uitleggen wat een verplichtstelling is, wie haar aanvraagt en wie haar afgeeft;</w:t>
      </w:r>
    </w:p>
    <w:p>
      <w:pPr>
        <w:pStyle w:val="ListParagraph"/>
        <w:numPr>
          <w:ilvl w:val="0"/>
          <w:numId w:val="1"/>
        </w:numPr>
        <w:spacing w:after="80"/>
      </w:pPr>
      <w:r>
        <w:rPr>
          <w:rFonts w:ascii="Calibri" w:cs="Calibri" w:eastAsia="Calibri" w:hAnsi="Calibri"/>
          <w:sz w:val="22"/>
          <w:szCs w:val="22"/>
        </w:rPr>
        <w:t xml:space="preserve">2. het begrip werkingssfeer toepassen op een concrete onderneming;</w:t>
      </w:r>
    </w:p>
    <w:p>
      <w:pPr>
        <w:pStyle w:val="ListParagraph"/>
        <w:numPr>
          <w:ilvl w:val="0"/>
          <w:numId w:val="1"/>
        </w:numPr>
        <w:spacing w:after="80"/>
      </w:pPr>
      <w:r>
        <w:rPr>
          <w:rFonts w:ascii="Calibri" w:cs="Calibri" w:eastAsia="Calibri" w:hAnsi="Calibri"/>
          <w:sz w:val="22"/>
          <w:szCs w:val="22"/>
        </w:rPr>
        <w:t xml:space="preserve">3. de gronden voor vrijstelling van een verplichtgesteld bedrijfstakpensioenfonds benoemen en toepassen;</w:t>
      </w:r>
    </w:p>
    <w:p>
      <w:pPr>
        <w:pStyle w:val="ListParagraph"/>
        <w:numPr>
          <w:ilvl w:val="0"/>
          <w:numId w:val="1"/>
        </w:numPr>
        <w:spacing w:after="80"/>
      </w:pPr>
      <w:r>
        <w:rPr>
          <w:rFonts w:ascii="Calibri" w:cs="Calibri" w:eastAsia="Calibri" w:hAnsi="Calibri"/>
          <w:sz w:val="22"/>
          <w:szCs w:val="22"/>
        </w:rPr>
        <w:t xml:space="preserve">4. het risico van een onopgemerkte verplichte aansluiting beoordelen, inclusief het naheffingsrisico met terugwerkende kracht;</w:t>
      </w:r>
    </w:p>
    <w:p>
      <w:pPr>
        <w:pStyle w:val="ListParagraph"/>
        <w:numPr>
          <w:ilvl w:val="0"/>
          <w:numId w:val="1"/>
        </w:numPr>
        <w:spacing w:after="80"/>
      </w:pPr>
      <w:r>
        <w:rPr>
          <w:rFonts w:ascii="Calibri" w:cs="Calibri" w:eastAsia="Calibri" w:hAnsi="Calibri"/>
          <w:sz w:val="22"/>
          <w:szCs w:val="22"/>
        </w:rPr>
        <w:t xml:space="preserve">5. verklaren waarom de vraag “wie mag uitvoeren” vóór de vraag “welke regeling willen we” komt;</w:t>
      </w:r>
    </w:p>
    <w:p>
      <w:pPr>
        <w:pStyle w:val="ListParagraph"/>
        <w:numPr>
          <w:ilvl w:val="0"/>
          <w:numId w:val="1"/>
        </w:numPr>
        <w:spacing w:after="80"/>
      </w:pPr>
      <w:r>
        <w:rPr>
          <w:rFonts w:ascii="Calibri" w:cs="Calibri" w:eastAsia="Calibri" w:hAnsi="Calibri"/>
          <w:sz w:val="22"/>
          <w:szCs w:val="22"/>
        </w:rPr>
        <w:t xml:space="preserve">6. de gevolgen van de Wtp-transitie voor bestaande vrijstellingen benoemen.</w:t>
      </w:r>
    </w:p>
    <w:p>
      <w:pPr>
        <w:spacing w:after="100"/>
      </w:pPr>
    </w:p>
    <w:p>
      <w:pPr>
        <w:pStyle w:val="Heading2"/>
        <w:spacing w:after="120" w:before="200"/>
      </w:pPr>
      <w:r>
        <w:rPr>
          <w:rFonts w:ascii="Georgia" w:cs="Georgia" w:eastAsia="Georgia" w:hAnsi="Georgia"/>
          <w:b/>
          <w:bCs/>
          <w:color w:val="2563A8"/>
          <w:sz w:val="28"/>
          <w:szCs w:val="28"/>
        </w:rPr>
        <w:t xml:space="preserve">4.2 Waarom dit deel hier staat</w:t>
      </w:r>
    </w:p>
    <w:p>
      <w:pPr>
        <w:spacing w:after="140" w:line="300"/>
      </w:pPr>
      <w:r>
        <w:rPr>
          <w:rFonts w:ascii="Calibri" w:cs="Calibri" w:eastAsia="Calibri" w:hAnsi="Calibri"/>
          <w:b w:val="false"/>
          <w:bCs w:val="false"/>
          <w:i w:val="false"/>
          <w:iCs w:val="false"/>
          <w:sz w:val="22"/>
          <w:szCs w:val="22"/>
        </w:rPr>
        <w:t xml:space="preserve">In deel 3 heb je geleerd regelingen te typeren. De verleiding is dan om meteen door te gaan naar de vraag welke regeling het beste past. Maar bij een aanzienlijk deel van de Nederlandse werkgevers is die vraag niet aan de orde: zij zitten verplicht in een bedrijfstakpensioenfonds en hebben over de inhoud van de regeling niets te zeggen.</w:t>
      </w:r>
    </w:p>
    <w:p>
      <w:pPr>
        <w:spacing w:after="140" w:line="300"/>
      </w:pPr>
      <w:r>
        <w:rPr>
          <w:rFonts w:ascii="Calibri" w:cs="Calibri" w:eastAsia="Calibri" w:hAnsi="Calibri"/>
          <w:b w:val="false"/>
          <w:bCs w:val="false"/>
          <w:i w:val="false"/>
          <w:iCs w:val="false"/>
          <w:sz w:val="22"/>
          <w:szCs w:val="22"/>
        </w:rPr>
        <w:t xml:space="preserve">De volgorde is dus:</w:t>
      </w:r>
    </w:p>
    <w:p>
      <w:pPr>
        <w:pStyle w:val="ListParagraph"/>
        <w:numPr>
          <w:ilvl w:val="0"/>
          <w:numId w:val="1"/>
        </w:numPr>
        <w:spacing w:after="80"/>
      </w:pPr>
      <w:r>
        <w:rPr>
          <w:rFonts w:ascii="Calibri" w:cs="Calibri" w:eastAsia="Calibri" w:hAnsi="Calibri"/>
          <w:sz w:val="22"/>
          <w:szCs w:val="22"/>
        </w:rPr>
        <w:t xml:space="preserve">1. Val ik onder een verplichtstelling?</w:t>
      </w:r>
    </w:p>
    <w:p>
      <w:pPr>
        <w:pStyle w:val="ListParagraph"/>
        <w:numPr>
          <w:ilvl w:val="0"/>
          <w:numId w:val="1"/>
        </w:numPr>
        <w:spacing w:after="80"/>
      </w:pPr>
      <w:r>
        <w:rPr>
          <w:rFonts w:ascii="Calibri" w:cs="Calibri" w:eastAsia="Calibri" w:hAnsi="Calibri"/>
          <w:sz w:val="22"/>
          <w:szCs w:val="22"/>
        </w:rPr>
        <w:t xml:space="preserve">2. Zo ja: kan en wil ik vrijstelling?</w:t>
      </w:r>
    </w:p>
    <w:p>
      <w:pPr>
        <w:pStyle w:val="ListParagraph"/>
        <w:numPr>
          <w:ilvl w:val="0"/>
          <w:numId w:val="1"/>
        </w:numPr>
        <w:spacing w:after="80"/>
      </w:pPr>
      <w:r>
        <w:rPr>
          <w:rFonts w:ascii="Calibri" w:cs="Calibri" w:eastAsia="Calibri" w:hAnsi="Calibri"/>
          <w:sz w:val="22"/>
          <w:szCs w:val="22"/>
        </w:rPr>
        <w:t xml:space="preserve">3. Pas dan: welke regeling, bij welke uitvoerder?</w:t>
      </w:r>
    </w:p>
    <w:p>
      <w:pPr>
        <w:spacing w:after="140" w:line="300"/>
      </w:pPr>
      <w:r>
        <w:rPr>
          <w:rFonts w:ascii="Calibri" w:cs="Calibri" w:eastAsia="Calibri" w:hAnsi="Calibri"/>
          <w:b w:val="false"/>
          <w:bCs w:val="false"/>
          <w:i w:val="false"/>
          <w:iCs w:val="false"/>
          <w:sz w:val="22"/>
          <w:szCs w:val="22"/>
        </w:rPr>
        <w:t xml:space="preserve">Wie stap 1 overslaat, adviseert een werkgever mogelijk een regeling die hij helemaal niet mag hebben. Dat is geen theoretisch risico: onopgemerkte verplichte aansluitingen komen regelmatig aan het licht, en dan wordt met terugwerkende kracht premie gevorderd.</w:t>
      </w:r>
    </w:p>
    <w:p>
      <w:pPr>
        <w:spacing w:after="100"/>
      </w:pPr>
    </w:p>
    <w:p>
      <w:pPr>
        <w:pStyle w:val="Heading2"/>
        <w:spacing w:after="120" w:before="200"/>
      </w:pPr>
      <w:r>
        <w:rPr>
          <w:rFonts w:ascii="Georgia" w:cs="Georgia" w:eastAsia="Georgia" w:hAnsi="Georgia"/>
          <w:b/>
          <w:bCs/>
          <w:color w:val="2563A8"/>
          <w:sz w:val="28"/>
          <w:szCs w:val="28"/>
        </w:rPr>
        <w:t xml:space="preserve">4.3 Wat is een verplichtstelling?</w:t>
      </w:r>
    </w:p>
    <w:p>
      <w:pPr>
        <w:spacing w:after="140" w:line="300"/>
      </w:pPr>
      <w:r>
        <w:rPr>
          <w:rFonts w:ascii="Calibri" w:cs="Calibri" w:eastAsia="Calibri" w:hAnsi="Calibri"/>
          <w:b w:val="false"/>
          <w:bCs w:val="false"/>
          <w:i w:val="false"/>
          <w:iCs w:val="false"/>
          <w:sz w:val="22"/>
          <w:szCs w:val="22"/>
        </w:rPr>
        <w:t xml:space="preserve">Werkgevers- en werknemersorganisaties in een bedrijfstak kunnen de minister van Sociale Zaken en Werkgelegenheid verzoeken om deelname aan het bedrijfstakpensioenfonds verplicht te stellen voor de hele sector. Als aan de voorwaarden is voldaan — voldoende representativiteit van de aanvragende partijen — geeft de minister de verplichtstelling af.</w:t>
      </w:r>
    </w:p>
    <w:p>
      <w:pPr>
        <w:spacing w:after="140" w:line="300"/>
      </w:pPr>
      <w:r>
        <w:rPr>
          <w:rFonts w:ascii="Calibri" w:cs="Calibri" w:eastAsia="Calibri" w:hAnsi="Calibri"/>
          <w:b w:val="false"/>
          <w:bCs w:val="false"/>
          <w:i w:val="false"/>
          <w:iCs w:val="false"/>
          <w:sz w:val="22"/>
          <w:szCs w:val="22"/>
        </w:rPr>
        <w:t xml:space="preserve">Het gevolg is ingrijpend: elke werkgever die onder de omschrijving valt, is van rechtswege aangesloten. Niet omdat hij zich heeft aangemeld, maar omdat zijn activiteiten binnen de omschrijving vallen. Aanmelding is een administratieve handeling, geen constitutieve.</w:t>
      </w:r>
    </w:p>
    <w:p>
      <w:pPr>
        <w:spacing w:after="140" w:line="300"/>
      </w:pPr>
      <w:r>
        <w:rPr>
          <w:rFonts w:ascii="Calibri" w:cs="Calibri" w:eastAsia="Calibri" w:hAnsi="Calibri"/>
          <w:b w:val="false"/>
          <w:bCs w:val="false"/>
          <w:i w:val="false"/>
          <w:iCs w:val="false"/>
          <w:sz w:val="22"/>
          <w:szCs w:val="22"/>
        </w:rPr>
        <w:t xml:space="preserve">De gedachte erachter is bescherming en gelijk speelveld: pensioen mag geen concurrentiefactor zijn tussen bedrijven in dezelfde sector, en werknemers in een sector met veel baanwisselingen bouwen zo ononderbroken op.</w:t>
      </w:r>
    </w:p>
    <w:p>
      <w:pPr>
        <w:spacing w:after="140" w:line="300"/>
      </w:pPr>
      <w:r>
        <w:rPr>
          <w:rFonts w:ascii="Calibri" w:cs="Calibri" w:eastAsia="Calibri" w:hAnsi="Calibri"/>
          <w:b w:val="false"/>
          <w:bCs w:val="false"/>
          <w:i w:val="false"/>
          <w:iCs w:val="false"/>
          <w:sz w:val="22"/>
          <w:szCs w:val="22"/>
        </w:rPr>
        <w:t xml:space="preserve">Naast bedrijfstakpensioenfondsen bestaan verplichtstellingen voor beroepspensioenregelingen — voor vrije beroepen zoals medisch specialisten, notarissen of huisartsen.</w:t>
      </w:r>
    </w:p>
    <w:p>
      <w:pPr>
        <w:spacing w:after="100"/>
      </w:pPr>
    </w:p>
    <w:p>
      <w:pPr>
        <w:pStyle w:val="Heading2"/>
        <w:spacing w:after="120" w:before="200"/>
      </w:pPr>
      <w:r>
        <w:rPr>
          <w:rFonts w:ascii="Georgia" w:cs="Georgia" w:eastAsia="Georgia" w:hAnsi="Georgia"/>
          <w:b/>
          <w:bCs/>
          <w:color w:val="2563A8"/>
          <w:sz w:val="28"/>
          <w:szCs w:val="28"/>
        </w:rPr>
        <w:t xml:space="preserve">4.4 De werkingssfeer</w:t>
      </w:r>
    </w:p>
    <w:p>
      <w:pPr>
        <w:spacing w:after="140" w:line="300"/>
      </w:pPr>
      <w:r>
        <w:rPr>
          <w:rFonts w:ascii="Calibri" w:cs="Calibri" w:eastAsia="Calibri" w:hAnsi="Calibri"/>
          <w:b w:val="false"/>
          <w:bCs w:val="false"/>
          <w:i w:val="false"/>
          <w:iCs w:val="false"/>
          <w:sz w:val="22"/>
          <w:szCs w:val="22"/>
        </w:rPr>
        <w:t xml:space="preserve">De </w:t>
      </w:r>
      <w:r>
        <w:rPr>
          <w:rFonts w:ascii="Calibri" w:cs="Calibri" w:eastAsia="Calibri" w:hAnsi="Calibri"/>
          <w:b/>
          <w:bCs/>
          <w:i w:val="false"/>
          <w:iCs w:val="false"/>
          <w:sz w:val="22"/>
          <w:szCs w:val="22"/>
        </w:rPr>
        <w:t xml:space="preserve">werkingssfeer</w:t>
      </w:r>
      <w:r>
        <w:rPr>
          <w:rFonts w:ascii="Calibri" w:cs="Calibri" w:eastAsia="Calibri" w:hAnsi="Calibri"/>
          <w:b w:val="false"/>
          <w:bCs w:val="false"/>
          <w:i w:val="false"/>
          <w:iCs w:val="false"/>
          <w:sz w:val="22"/>
          <w:szCs w:val="22"/>
        </w:rPr>
        <w:t xml:space="preserve"> is de tekst in het verplichtstellingsbesluit die beschrijft welke ondernemingen eronder vallen. Zij is doorgaans opgebouwd als:</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"Onder deze verplichtstelling vallen ondernemingen waarin uitsluitend of in hoofdzaak werkzaamheden worden verricht op het gebied van … ", gevolgd door een opsomming van activiteiten, soms met uitzonderingen en met kwantitatieve criteria (bijvoorbeeld: meer dan 50% van de loonsom).</w:t>
            </w:r>
          </w:p>
        </w:tc>
      </w:tr>
    </w:tbl>
    <w:p>
      <w:pPr>
        <w:spacing w:after="80" w:before="160"/>
        <w:jc w:val="center"/>
      </w:pPr>
      <w:r>
        <w:drawing>
          <wp:inline distT="0" distB="0" distL="0" distR="0">
            <wp:extent cx="4381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6668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4-1 — Beslisschema werkingssfeer — van bedrijfsactiviteit naar verplichte aansluiting, met de drie uitkomsten wel, niet, en onduidelijk</w:t>
      </w:r>
    </w:p>
    <w:p>
      <w:pPr>
        <w:spacing w:after="140" w:line="300"/>
      </w:pPr>
      <w:r>
        <w:rPr>
          <w:rFonts w:ascii="Calibri" w:cs="Calibri" w:eastAsia="Calibri" w:hAnsi="Calibri"/>
          <w:b w:val="false"/>
          <w:bCs w:val="false"/>
          <w:i w:val="false"/>
          <w:iCs w:val="false"/>
          <w:sz w:val="22"/>
          <w:szCs w:val="22"/>
        </w:rPr>
        <w:t xml:space="preserve">Bepalend is wat een onderneming feitelijk dóét, niet wat er in de statuten of bij de Kamer van Koophandel staat. Een bedrijf dat zichzelf presenteert als “adviesbureau” maar in werkelijkheid installatiewerk uitvoert, valt onder de installatiesector.</w:t>
      </w:r>
    </w:p>
    <w:p>
      <w:pPr>
        <w:spacing w:after="140" w:line="300"/>
      </w:pPr>
      <w:r>
        <w:rPr>
          <w:rFonts w:ascii="Calibri" w:cs="Calibri" w:eastAsia="Calibri" w:hAnsi="Calibri"/>
          <w:b w:val="false"/>
          <w:bCs w:val="false"/>
          <w:i w:val="false"/>
          <w:iCs w:val="false"/>
          <w:sz w:val="22"/>
          <w:szCs w:val="22"/>
        </w:rPr>
        <w:t xml:space="preserve">Complicaties die je in de praktijk tegenkomt:</w:t>
      </w:r>
    </w:p>
    <w:p>
      <w:pPr>
        <w:pStyle w:val="ListParagraph"/>
        <w:numPr>
          <w:ilvl w:val="0"/>
          <w:numId w:val="1"/>
        </w:numPr>
        <w:spacing w:after="80"/>
      </w:pPr>
      <w:r>
        <w:rPr>
          <w:rFonts w:ascii="Calibri" w:cs="Calibri" w:eastAsia="Calibri" w:hAnsi="Calibri"/>
          <w:sz w:val="22"/>
          <w:szCs w:val="22"/>
        </w:rPr>
        <w:t xml:space="preserve">Meerdere activiteiten. Een bedrijf dat zowel installeert als handelt, kan onder twee werkingssferen vallen. Dan is doorgaans het hoofdzakelijkheidscriterium beslissend, gemeten naar loonsom of arbeidsuren.</w:t>
      </w:r>
    </w:p>
    <w:p>
      <w:pPr>
        <w:pStyle w:val="ListParagraph"/>
        <w:numPr>
          <w:ilvl w:val="0"/>
          <w:numId w:val="1"/>
        </w:numPr>
        <w:spacing w:after="80"/>
      </w:pPr>
      <w:r>
        <w:rPr>
          <w:rFonts w:ascii="Calibri" w:cs="Calibri" w:eastAsia="Calibri" w:hAnsi="Calibri"/>
          <w:sz w:val="22"/>
          <w:szCs w:val="22"/>
        </w:rPr>
        <w:t xml:space="preserve">Verschuivende activiteiten. Een onderneming groeit van handel naar productie en glijdt daarmee ongemerkt een andere werkingssfeer in.</w:t>
      </w:r>
    </w:p>
    <w:p>
      <w:pPr>
        <w:pStyle w:val="ListParagraph"/>
        <w:numPr>
          <w:ilvl w:val="0"/>
          <w:numId w:val="1"/>
        </w:numPr>
        <w:spacing w:after="80"/>
      </w:pPr>
      <w:r>
        <w:rPr>
          <w:rFonts w:ascii="Calibri" w:cs="Calibri" w:eastAsia="Calibri" w:hAnsi="Calibri"/>
          <w:sz w:val="22"/>
          <w:szCs w:val="22"/>
        </w:rPr>
        <w:t xml:space="preserve">Concernstructuren. De verplichtstelling geldt per onderneming, niet per concern. Binnen één holding kunnen verschillende werkmaatschappijen onder verschillende fondsen vallen.</w:t>
      </w:r>
    </w:p>
    <w:p>
      <w:pPr>
        <w:pStyle w:val="ListParagraph"/>
        <w:numPr>
          <w:ilvl w:val="0"/>
          <w:numId w:val="1"/>
        </w:numPr>
        <w:spacing w:after="80"/>
      </w:pPr>
      <w:r>
        <w:rPr>
          <w:rFonts w:ascii="Calibri" w:cs="Calibri" w:eastAsia="Calibri" w:hAnsi="Calibri"/>
          <w:sz w:val="22"/>
          <w:szCs w:val="22"/>
        </w:rPr>
        <w:t xml:space="preserve">Uitzendkrachten en payroll. Eigen werkingssferen, met eigen fondsen.</w:t>
      </w:r>
    </w:p>
    <w:p>
      <w:pPr>
        <w:spacing w:after="140" w:line="300"/>
      </w:pPr>
      <w:r>
        <w:rPr>
          <w:rFonts w:ascii="Calibri" w:cs="Calibri" w:eastAsia="Calibri" w:hAnsi="Calibri"/>
          <w:b w:val="false"/>
          <w:bCs w:val="false"/>
          <w:i w:val="false"/>
          <w:iCs w:val="false"/>
          <w:sz w:val="22"/>
          <w:szCs w:val="22"/>
        </w:rPr>
        <w:t xml:space="preserve">Bij twijfel kan een werkingssfeeronderzoek worden gedaan, door het fonds zelf of door een adviseur. De uitkomst is bindend voor niemand behalve de rechter, maar zij is wel het startpunt van elk gesprek.</w:t>
      </w:r>
    </w:p>
    <w:p>
      <w:pPr>
        <w:spacing w:after="100"/>
      </w:pPr>
    </w:p>
    <w:p>
      <w:pPr>
        <w:pStyle w:val="Heading2"/>
        <w:spacing w:after="120" w:before="200"/>
      </w:pPr>
      <w:r>
        <w:rPr>
          <w:rFonts w:ascii="Georgia" w:cs="Georgia" w:eastAsia="Georgia" w:hAnsi="Georgia"/>
          <w:b/>
          <w:bCs/>
          <w:color w:val="2563A8"/>
          <w:sz w:val="28"/>
          <w:szCs w:val="28"/>
        </w:rPr>
        <w:t xml:space="preserve">4.5 De gevolgen van een onopgemerkte verplichte aansluiting</w:t>
      </w:r>
    </w:p>
    <w:p>
      <w:pPr>
        <w:spacing w:after="140" w:line="300"/>
      </w:pPr>
      <w:r>
        <w:rPr>
          <w:rFonts w:ascii="Calibri" w:cs="Calibri" w:eastAsia="Calibri" w:hAnsi="Calibri"/>
          <w:b w:val="false"/>
          <w:bCs w:val="false"/>
          <w:i w:val="false"/>
          <w:iCs w:val="false"/>
          <w:sz w:val="22"/>
          <w:szCs w:val="22"/>
        </w:rPr>
        <w:t xml:space="preserve">Dit is het duurste risico in de tweedepijlerpraktijk. Als achteraf blijkt dat een werkgever onder een verplichtstelling viel:</w:t>
      </w:r>
    </w:p>
    <w:p>
      <w:pPr>
        <w:pStyle w:val="ListParagraph"/>
        <w:numPr>
          <w:ilvl w:val="0"/>
          <w:numId w:val="1"/>
        </w:numPr>
        <w:spacing w:after="80"/>
      </w:pPr>
      <w:r>
        <w:rPr>
          <w:rFonts w:ascii="Calibri" w:cs="Calibri" w:eastAsia="Calibri" w:hAnsi="Calibri"/>
          <w:sz w:val="22"/>
          <w:szCs w:val="22"/>
        </w:rPr>
        <w:t xml:space="preserve">vordert het fonds premie over de achterliggende periode, in beginsel met terugwerkende kracht;</w:t>
      </w:r>
    </w:p>
    <w:p>
      <w:pPr>
        <w:pStyle w:val="ListParagraph"/>
        <w:numPr>
          <w:ilvl w:val="0"/>
          <w:numId w:val="1"/>
        </w:numPr>
        <w:spacing w:after="80"/>
      </w:pPr>
      <w:r>
        <w:rPr>
          <w:rFonts w:ascii="Calibri" w:cs="Calibri" w:eastAsia="Calibri" w:hAnsi="Calibri"/>
          <w:sz w:val="22"/>
          <w:szCs w:val="22"/>
        </w:rPr>
        <w:t xml:space="preserve">ontstaan er alsnog aanspraken voor de werknemers over die periode;</w:t>
      </w:r>
    </w:p>
    <w:p>
      <w:pPr>
        <w:pStyle w:val="ListParagraph"/>
        <w:numPr>
          <w:ilvl w:val="0"/>
          <w:numId w:val="1"/>
        </w:numPr>
        <w:spacing w:after="80"/>
      </w:pPr>
      <w:r>
        <w:rPr>
          <w:rFonts w:ascii="Calibri" w:cs="Calibri" w:eastAsia="Calibri" w:hAnsi="Calibri"/>
          <w:sz w:val="22"/>
          <w:szCs w:val="22"/>
        </w:rPr>
        <w:t xml:space="preserve">levert de regeling die de werkgever wél had bij een verzekeraar geen ontheffing op — die regeling verdwijnt niet, maar hij ontslaat de werkgever niet van zijn verplichting;</w:t>
      </w:r>
    </w:p>
    <w:p>
      <w:pPr>
        <w:pStyle w:val="ListParagraph"/>
        <w:numPr>
          <w:ilvl w:val="0"/>
          <w:numId w:val="1"/>
        </w:numPr>
        <w:spacing w:after="80"/>
      </w:pPr>
      <w:r>
        <w:rPr>
          <w:rFonts w:ascii="Calibri" w:cs="Calibri" w:eastAsia="Calibri" w:hAnsi="Calibri"/>
          <w:sz w:val="22"/>
          <w:szCs w:val="22"/>
        </w:rPr>
        <w:t xml:space="preserve">kan de werkgever de al betaalde verzekerde premies niet zomaar terugvorderen, en zeker niet de al gedekte risico’s.</w:t>
      </w:r>
    </w:p>
    <w:p>
      <w:pPr>
        <w:spacing w:after="140" w:line="300"/>
      </w:pPr>
      <w:r>
        <w:rPr>
          <w:rFonts w:ascii="Calibri" w:cs="Calibri" w:eastAsia="Calibri" w:hAnsi="Calibri"/>
          <w:b w:val="false"/>
          <w:bCs w:val="false"/>
          <w:i w:val="false"/>
          <w:iCs w:val="false"/>
          <w:sz w:val="22"/>
          <w:szCs w:val="22"/>
        </w:rPr>
        <w:t xml:space="preserve">De praktische boodschap voor de adviespraktijk: controleer de werkingssfeer bij elke nieuwe klant, en leg die controle vast. Bij een verandering van activiteiten hoort een hernieuwde toets. In deel 18 (zorgplicht) komt dit terug als expliciete adviesplicht.</w:t>
      </w:r>
    </w:p>
    <w:p>
      <w:pPr>
        <w:spacing w:after="100"/>
      </w:pPr>
    </w:p>
    <w:p>
      <w:pPr>
        <w:pStyle w:val="Heading2"/>
        <w:spacing w:after="120" w:before="200"/>
      </w:pPr>
      <w:r>
        <w:rPr>
          <w:rFonts w:ascii="Georgia" w:cs="Georgia" w:eastAsia="Georgia" w:hAnsi="Georgia"/>
          <w:b/>
          <w:bCs/>
          <w:color w:val="2563A8"/>
          <w:sz w:val="28"/>
          <w:szCs w:val="28"/>
        </w:rPr>
        <w:t xml:space="preserve">4.6 Vrijstelling</w:t>
      </w:r>
    </w:p>
    <w:p>
      <w:pPr>
        <w:spacing w:after="140" w:line="300"/>
      </w:pPr>
      <w:r>
        <w:rPr>
          <w:rFonts w:ascii="Calibri" w:cs="Calibri" w:eastAsia="Calibri" w:hAnsi="Calibri"/>
          <w:b w:val="false"/>
          <w:bCs w:val="false"/>
          <w:i w:val="false"/>
          <w:iCs w:val="false"/>
          <w:sz w:val="22"/>
          <w:szCs w:val="22"/>
        </w:rPr>
        <w:t xml:space="preserve">Een werkgever die onder de verplichtstelling valt, kan onder omstandigheden vrijstelling krijgen. De gronden zijn genormeerd; de belangrijkste zijn: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 Bestaande regeling (eigen regeling van vóór de verplichtstelling).</w:t>
      </w:r>
      <w:r>
        <w:rPr>
          <w:rFonts w:ascii="Calibri" w:cs="Calibri" w:eastAsia="Calibri" w:hAnsi="Calibri"/>
          <w:b w:val="false"/>
          <w:bCs w:val="false"/>
          <w:i w:val="false"/>
          <w:iCs w:val="false"/>
          <w:sz w:val="22"/>
          <w:szCs w:val="22"/>
        </w:rPr>
        <w:t xml:space="preserve"> De werkgever had al een pensioenregeling voordat de verplichtstelling van kracht werd of voordat hij onder de werkingssfeer kwam te vallen. Er gelden voorwaarden ten aanzien van het tijdvak vóór de verplichtstelling.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2. Concernvrijstelling.</w:t>
      </w:r>
      <w:r>
        <w:rPr>
          <w:rFonts w:ascii="Calibri" w:cs="Calibri" w:eastAsia="Calibri" w:hAnsi="Calibri"/>
          <w:b w:val="false"/>
          <w:bCs w:val="false"/>
          <w:i w:val="false"/>
          <w:iCs w:val="false"/>
          <w:sz w:val="22"/>
          <w:szCs w:val="22"/>
        </w:rPr>
        <w:t xml:space="preserve"> De werkgever maakt deel uit van een concern met een eigen concernregeling, en de aansluiting bij het bpf zou de concernbrede uitvoering doorkruisen.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3. Eigen cao.</w:t>
      </w:r>
      <w:r>
        <w:rPr>
          <w:rFonts w:ascii="Calibri" w:cs="Calibri" w:eastAsia="Calibri" w:hAnsi="Calibri"/>
          <w:b w:val="false"/>
          <w:bCs w:val="false"/>
          <w:i w:val="false"/>
          <w:iCs w:val="false"/>
          <w:sz w:val="22"/>
          <w:szCs w:val="22"/>
        </w:rPr>
        <w:t xml:space="preserve"> De werkgever valt onder een eigen cao met een eigen pensioenregeling.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4. Onvoldoende beleggingsrendement van het fonds.</w:t>
      </w:r>
      <w:r>
        <w:rPr>
          <w:rFonts w:ascii="Calibri" w:cs="Calibri" w:eastAsia="Calibri" w:hAnsi="Calibri"/>
          <w:b w:val="false"/>
          <w:bCs w:val="false"/>
          <w:i w:val="false"/>
          <w:iCs w:val="false"/>
          <w:sz w:val="22"/>
          <w:szCs w:val="22"/>
        </w:rPr>
        <w:t xml:space="preserve"> Een grond die zelden succesvol wordt ingeroepen en aan strikte criteria is gebonden.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5. Groepsvorming / bijzondere gevallen.</w:t>
      </w:r>
      <w:r>
        <w:rPr>
          <w:rFonts w:ascii="Calibri" w:cs="Calibri" w:eastAsia="Calibri" w:hAnsi="Calibri"/>
          <w:b w:val="false"/>
          <w:bCs w:val="false"/>
          <w:i w:val="false"/>
          <w:iCs w:val="false"/>
          <w:sz w:val="22"/>
          <w:szCs w:val="22"/>
        </w:rPr>
        <w:t xml:space="preserve"> Discretionaire ruimte van het fonds.</w:t>
      </w:r>
    </w:p>
    <w:p>
      <w:pPr>
        <w:spacing w:after="140" w:line="300"/>
      </w:pPr>
      <w:r>
        <w:rPr>
          <w:rFonts w:ascii="Calibri" w:cs="Calibri" w:eastAsia="Calibri" w:hAnsi="Calibri"/>
          <w:b w:val="false"/>
          <w:bCs w:val="false"/>
          <w:i w:val="false"/>
          <w:iCs w:val="false"/>
          <w:sz w:val="22"/>
          <w:szCs w:val="22"/>
        </w:rPr>
        <w:t xml:space="preserve">Bij alle gronden geldt een kernvoorwaarde: de eigen regeling moet </w:t>
      </w:r>
      <w:r>
        <w:rPr>
          <w:rFonts w:ascii="Calibri" w:cs="Calibri" w:eastAsia="Calibri" w:hAnsi="Calibri"/>
          <w:b/>
          <w:bCs/>
          <w:i w:val="false"/>
          <w:iCs w:val="false"/>
          <w:sz w:val="22"/>
          <w:szCs w:val="22"/>
        </w:rPr>
        <w:t xml:space="preserve">ten minste actuarieel en financieel gelijkwaardig</w:t>
      </w:r>
      <w:r>
        <w:rPr>
          <w:rFonts w:ascii="Calibri" w:cs="Calibri" w:eastAsia="Calibri" w:hAnsi="Calibri"/>
          <w:b w:val="false"/>
          <w:bCs w:val="false"/>
          <w:i w:val="false"/>
          <w:iCs w:val="false"/>
          <w:sz w:val="22"/>
          <w:szCs w:val="22"/>
        </w:rPr>
        <w:t xml:space="preserve"> zijn aan de fondsregeling. Wat “gelijkwaardig” precies inhoudt, wordt getoetst volgens een vastgestelde methodiek en per situatie beoordeeld. Een vrijstelling wordt bovendien voorwaardelijk verleend: als de eigen regeling later niet meer gelijkwaardig is, kan de vrijstelling worden ingetrokken.</w:t>
      </w:r>
    </w:p>
    <w:p>
      <w:pPr>
        <w:spacing w:after="140" w:line="300"/>
      </w:pPr>
      <w:r>
        <w:rPr>
          <w:rFonts w:ascii="Calibri" w:cs="Calibri" w:eastAsia="Calibri" w:hAnsi="Calibri"/>
          <w:b w:val="false"/>
          <w:bCs w:val="false"/>
          <w:i w:val="false"/>
          <w:iCs w:val="false"/>
          <w:sz w:val="22"/>
          <w:szCs w:val="22"/>
        </w:rPr>
        <w:t xml:space="preserve">Van Doorn Techniek zit in deze categorie. Het bedrijf viel onder de werkingssfeer van Bpf T&amp;I, maar beschikte al vóór de verplichtstelling over een eigen regeling bij Meridiaan en heeft op die grond vrijstelling gekregen — met de verplichting om gelijkwaardigheid in stand te houden.</w:t>
      </w:r>
    </w:p>
    <w:p>
      <w:pPr>
        <w:spacing w:after="100"/>
      </w:pPr>
    </w:p>
    <w:p>
      <w:pPr>
        <w:pStyle w:val="Heading2"/>
        <w:spacing w:after="120" w:before="200"/>
      </w:pPr>
      <w:r>
        <w:rPr>
          <w:rFonts w:ascii="Georgia" w:cs="Georgia" w:eastAsia="Georgia" w:hAnsi="Georgia"/>
          <w:b/>
          <w:bCs/>
          <w:color w:val="2563A8"/>
          <w:sz w:val="28"/>
          <w:szCs w:val="28"/>
        </w:rPr>
        <w:t xml:space="preserve">4.7 Gelijkwaardigheid onder de Wtp</w:t>
      </w:r>
    </w:p>
    <w:p>
      <w:pPr>
        <w:spacing w:after="140" w:line="300"/>
      </w:pPr>
      <w:r>
        <w:rPr>
          <w:rFonts w:ascii="Calibri" w:cs="Calibri" w:eastAsia="Calibri" w:hAnsi="Calibri"/>
          <w:b w:val="false"/>
          <w:bCs w:val="false"/>
          <w:i w:val="false"/>
          <w:iCs w:val="false"/>
          <w:sz w:val="22"/>
          <w:szCs w:val="22"/>
        </w:rPr>
        <w:t xml:space="preserve">Hier komt de rode draad van deze cursus terug. Zowel het fonds als de vrijgestelde werkgever gaat over naar een Wtp-conforme regeling, maar niet noodzakelijk op hetzelfde moment en niet in dezelfde vorm. Dat roept drie vragen op:</w:t>
      </w:r>
    </w:p>
    <w:p>
      <w:pPr>
        <w:pStyle w:val="ListParagraph"/>
        <w:numPr>
          <w:ilvl w:val="0"/>
          <w:numId w:val="1"/>
        </w:numPr>
        <w:spacing w:after="80"/>
      </w:pPr>
      <w:r>
        <w:rPr>
          <w:rFonts w:ascii="Calibri" w:cs="Calibri" w:eastAsia="Calibri" w:hAnsi="Calibri"/>
          <w:sz w:val="22"/>
          <w:szCs w:val="22"/>
        </w:rPr>
        <w:t xml:space="preserve">1. Timing. Bpf T&amp;I gaat per 1 januari 2027 over op de solidaire premieregeling. Van Doorn Techniek zou op grond van het overgangsrecht zijn staffel voor bestaande deelnemers nog even kunnen voortzetten. Blijft de vrijstelling dan in stand?</w:t>
      </w:r>
    </w:p>
    <w:p>
      <w:pPr>
        <w:pStyle w:val="ListParagraph"/>
        <w:numPr>
          <w:ilvl w:val="0"/>
          <w:numId w:val="1"/>
        </w:numPr>
        <w:spacing w:after="80"/>
      </w:pPr>
      <w:r>
        <w:rPr>
          <w:rFonts w:ascii="Calibri" w:cs="Calibri" w:eastAsia="Calibri" w:hAnsi="Calibri"/>
          <w:sz w:val="22"/>
          <w:szCs w:val="22"/>
        </w:rPr>
        <w:t xml:space="preserve">2. Vergelijkbaarheid. Hoe vergelijk je een solidaire premieregeling met solidariteitsreserve met een flexibele premieregeling met lifecycle? De grootheden zijn niet één op één gelijk.</w:t>
      </w:r>
    </w:p>
    <w:p>
      <w:pPr>
        <w:pStyle w:val="ListParagraph"/>
        <w:numPr>
          <w:ilvl w:val="0"/>
          <w:numId w:val="1"/>
        </w:numPr>
        <w:spacing w:after="80"/>
      </w:pPr>
      <w:r>
        <w:rPr>
          <w:rFonts w:ascii="Calibri" w:cs="Calibri" w:eastAsia="Calibri" w:hAnsi="Calibri"/>
          <w:sz w:val="22"/>
          <w:szCs w:val="22"/>
        </w:rPr>
        <w:t xml:space="preserve">3. Momentopname of doorlopend. Gelijkwaardigheid wordt getoetst; de transitie verandert bij beide partijen de regeling, dus de toets moet opnieuw.</w:t>
      </w:r>
    </w:p>
    <w:p>
      <w:pPr>
        <w:spacing w:after="140" w:line="300"/>
      </w:pPr>
      <w:r>
        <w:rPr>
          <w:rFonts w:ascii="Calibri" w:cs="Calibri" w:eastAsia="Calibri" w:hAnsi="Calibri"/>
          <w:b w:val="false"/>
          <w:bCs w:val="false"/>
          <w:i w:val="false"/>
          <w:iCs w:val="false"/>
          <w:sz w:val="22"/>
          <w:szCs w:val="22"/>
        </w:rPr>
        <w:t xml:space="preserve">Voor de adviespraktijk betekent dit: een vrijgestelde werkgever kan zijn transitie niet los van het fonds plannen. Hij moet weten wat het fonds doet en wanneer, omdat zijn eigen keuzevrijheid begrensd is door de gelijkwaardigheidseis. Dit is een van de weinige plekken waar de fondsen- en verzekeringswereld elkaar direct raken, en het is een punt dat in adviestrajecten regelmatig te laat wordt opgemerkt.</w:t>
      </w:r>
    </w:p>
    <w:p>
      <w:pPr>
        <w:spacing w:after="140" w:line="300"/>
      </w:pPr>
      <w:r>
        <w:rPr>
          <w:rFonts w:ascii="Calibri" w:cs="Calibri" w:eastAsia="Calibri" w:hAnsi="Calibri"/>
          <w:b w:val="false"/>
          <w:bCs w:val="false"/>
          <w:i w:val="false"/>
          <w:iCs w:val="false"/>
          <w:sz w:val="22"/>
          <w:szCs w:val="22"/>
        </w:rPr>
        <w:t xml:space="preserve">De uitwerking — hoe de toets precies verloopt en welke ruimte er is — hoort in niveau 2 en komt terug in deel 15.</w:t>
      </w:r>
    </w:p>
    <w:p>
      <w:pPr>
        <w:spacing w:after="100"/>
      </w:pPr>
    </w:p>
    <w:p>
      <w:pPr>
        <w:pStyle w:val="Heading2"/>
        <w:spacing w:after="120" w:before="200"/>
      </w:pPr>
      <w:r>
        <w:rPr>
          <w:rFonts w:ascii="Georgia" w:cs="Georgia" w:eastAsia="Georgia" w:hAnsi="Georgia"/>
          <w:b/>
          <w:bCs/>
          <w:color w:val="2563A8"/>
          <w:sz w:val="28"/>
          <w:szCs w:val="28"/>
        </w:rPr>
        <w:t xml:space="preserve">4.8 Vrijwillige aansluiting en de omgekeerde beweging</w:t>
      </w:r>
    </w:p>
    <w:p>
      <w:pPr>
        <w:spacing w:after="140" w:line="300"/>
      </w:pPr>
      <w:r>
        <w:rPr>
          <w:rFonts w:ascii="Calibri" w:cs="Calibri" w:eastAsia="Calibri" w:hAnsi="Calibri"/>
          <w:b w:val="false"/>
          <w:bCs w:val="false"/>
          <w:i w:val="false"/>
          <w:iCs w:val="false"/>
          <w:sz w:val="22"/>
          <w:szCs w:val="22"/>
        </w:rPr>
        <w:t xml:space="preserve">Het omgekeerde bestaat ook: een werkgever die </w:t>
      </w:r>
      <w:r>
        <w:rPr>
          <w:rFonts w:ascii="Calibri" w:cs="Calibri" w:eastAsia="Calibri" w:hAnsi="Calibri"/>
          <w:b w:val="false"/>
          <w:bCs w:val="false"/>
          <w:i/>
          <w:iCs/>
          <w:sz w:val="22"/>
          <w:szCs w:val="22"/>
        </w:rPr>
        <w:t xml:space="preserve">niet</w:t>
      </w:r>
      <w:r>
        <w:rPr>
          <w:rFonts w:ascii="Calibri" w:cs="Calibri" w:eastAsia="Calibri" w:hAnsi="Calibri"/>
          <w:b w:val="false"/>
          <w:bCs w:val="false"/>
          <w:i w:val="false"/>
          <w:iCs w:val="false"/>
          <w:sz w:val="22"/>
          <w:szCs w:val="22"/>
        </w:rPr>
        <w:t xml:space="preserve"> onder een verplichtstelling valt, kan zich onder voorwaarden vrijwillig aansluiten bij een bedrijfstakpensioenfonds. Redenen: de werkgever zit in een aanpalende sector, of hij wil dezelfde regeling als zijn ketenpartners, of hij wil af van de uitvoeringslast van een eigen regeling.</w:t>
      </w:r>
    </w:p>
    <w:p>
      <w:pPr>
        <w:spacing w:after="140" w:line="300"/>
      </w:pPr>
      <w:r>
        <w:rPr>
          <w:rFonts w:ascii="Calibri" w:cs="Calibri" w:eastAsia="Calibri" w:hAnsi="Calibri"/>
          <w:b w:val="false"/>
          <w:bCs w:val="false"/>
          <w:i w:val="false"/>
          <w:iCs w:val="false"/>
          <w:sz w:val="22"/>
          <w:szCs w:val="22"/>
        </w:rPr>
        <w:t xml:space="preserve">Bij de transitie zie je die beweging op twee manieren:</w:t>
      </w:r>
    </w:p>
    <w:p>
      <w:pPr>
        <w:pStyle w:val="ListParagraph"/>
        <w:numPr>
          <w:ilvl w:val="0"/>
          <w:numId w:val="1"/>
        </w:numPr>
        <w:spacing w:after="80"/>
      </w:pPr>
      <w:r>
        <w:rPr>
          <w:rFonts w:ascii="Calibri" w:cs="Calibri" w:eastAsia="Calibri" w:hAnsi="Calibri"/>
          <w:sz w:val="22"/>
          <w:szCs w:val="22"/>
        </w:rPr>
        <w:t xml:space="preserve">werkgevers met een klein, duur verzekerd contract die aansluiting zoeken bij een fonds of APF-kring;</w:t>
      </w:r>
    </w:p>
    <w:p>
      <w:pPr>
        <w:pStyle w:val="ListParagraph"/>
        <w:numPr>
          <w:ilvl w:val="0"/>
          <w:numId w:val="1"/>
        </w:numPr>
        <w:spacing w:after="80"/>
      </w:pPr>
      <w:r>
        <w:rPr>
          <w:rFonts w:ascii="Calibri" w:cs="Calibri" w:eastAsia="Calibri" w:hAnsi="Calibri"/>
          <w:sz w:val="22"/>
          <w:szCs w:val="22"/>
        </w:rPr>
        <w:t xml:space="preserve">ondernemingspensioenfondsen die liquideren en hun deelnemers onderbrengen bij een APF, een bpf of een verzekeraar.</w:t>
      </w:r>
    </w:p>
    <w:p>
      <w:pPr>
        <w:spacing w:after="140" w:line="300"/>
      </w:pPr>
      <w:r>
        <w:rPr>
          <w:rFonts w:ascii="Calibri" w:cs="Calibri" w:eastAsia="Calibri" w:hAnsi="Calibri"/>
          <w:b w:val="false"/>
          <w:bCs w:val="false"/>
          <w:i w:val="false"/>
          <w:iCs w:val="false"/>
          <w:sz w:val="22"/>
          <w:szCs w:val="22"/>
        </w:rPr>
        <w:t xml:space="preserve">Delta Chemie onderzoekt precies dat. Voor het fondsbestuur is het geen kwestie van voorkeur maar van uitvoerbaarheid: een krimpend fonds met tweederde inactieven draagt vaste kosten die per deelnemer steeds zwaarder wegen, en de transitie brengt extra eisen mee.</w:t>
      </w:r>
    </w:p>
    <w:p>
      <w:pPr>
        <w:spacing w:after="100"/>
      </w:pPr>
    </w:p>
    <w:p>
      <w:pPr>
        <w:pStyle w:val="Heading2"/>
        <w:spacing w:after="120" w:before="200"/>
      </w:pPr>
      <w:r>
        <w:rPr>
          <w:rFonts w:ascii="Georgia" w:cs="Georgia" w:eastAsia="Georgia" w:hAnsi="Georgia"/>
          <w:b/>
          <w:bCs/>
          <w:color w:val="2563A8"/>
          <w:sz w:val="28"/>
          <w:szCs w:val="28"/>
        </w:rPr>
        <w:t xml:space="preserve">4.9 Beslisschema in de praktijk</w:t>
      </w:r>
    </w:p>
    <w:p>
      <w:pPr>
        <w:spacing w:after="140" w:line="300"/>
      </w:pPr>
      <w:r>
        <w:rPr>
          <w:rFonts w:ascii="Calibri" w:cs="Calibri" w:eastAsia="Calibri" w:hAnsi="Calibri"/>
          <w:b w:val="false"/>
          <w:bCs w:val="false"/>
          <w:i w:val="false"/>
          <w:iCs w:val="false"/>
          <w:sz w:val="22"/>
          <w:szCs w:val="22"/>
        </w:rPr>
        <w:t xml:space="preserve">Bij elke nieuwe werkgeverssituatie:</w:t>
      </w:r>
    </w:p>
    <w:p>
      <w:pPr>
        <w:pStyle w:val="ListParagraph"/>
        <w:numPr>
          <w:ilvl w:val="0"/>
          <w:numId w:val="1"/>
        </w:numPr>
        <w:spacing w:after="80"/>
      </w:pPr>
      <w:r>
        <w:rPr>
          <w:rFonts w:ascii="Calibri" w:cs="Calibri" w:eastAsia="Calibri" w:hAnsi="Calibri"/>
          <w:sz w:val="22"/>
          <w:szCs w:val="22"/>
        </w:rPr>
        <w:t xml:space="preserve">1. Welke activiteiten verricht de onderneming feitelijk? Vraag door, kijk niet alleen naar de KvK-inschrijving.</w:t>
      </w:r>
    </w:p>
    <w:p>
      <w:pPr>
        <w:pStyle w:val="ListParagraph"/>
        <w:numPr>
          <w:ilvl w:val="0"/>
          <w:numId w:val="1"/>
        </w:numPr>
        <w:spacing w:after="80"/>
      </w:pPr>
      <w:r>
        <w:rPr>
          <w:rFonts w:ascii="Calibri" w:cs="Calibri" w:eastAsia="Calibri" w:hAnsi="Calibri"/>
          <w:sz w:val="22"/>
          <w:szCs w:val="22"/>
        </w:rPr>
        <w:t xml:space="preserve">2. Valt zij onder een of meer verplichtstellingen? Raadpleeg de werkingssfeerteksten.</w:t>
      </w:r>
    </w:p>
    <w:p>
      <w:pPr>
        <w:pStyle w:val="ListParagraph"/>
        <w:numPr>
          <w:ilvl w:val="0"/>
          <w:numId w:val="1"/>
        </w:numPr>
        <w:spacing w:after="80"/>
      </w:pPr>
      <w:r>
        <w:rPr>
          <w:rFonts w:ascii="Calibri" w:cs="Calibri" w:eastAsia="Calibri" w:hAnsi="Calibri"/>
          <w:sz w:val="22"/>
          <w:szCs w:val="22"/>
        </w:rPr>
        <w:t xml:space="preserve">3. Zo ja: is er een vrijstelling, en op welke grond? Vraag het besluit op — mondelinge zekerheid van de werkgever is onvoldoende.</w:t>
      </w:r>
    </w:p>
    <w:p>
      <w:pPr>
        <w:pStyle w:val="ListParagraph"/>
        <w:numPr>
          <w:ilvl w:val="0"/>
          <w:numId w:val="1"/>
        </w:numPr>
        <w:spacing w:after="80"/>
      </w:pPr>
      <w:r>
        <w:rPr>
          <w:rFonts w:ascii="Calibri" w:cs="Calibri" w:eastAsia="Calibri" w:hAnsi="Calibri"/>
          <w:sz w:val="22"/>
          <w:szCs w:val="22"/>
        </w:rPr>
        <w:t xml:space="preserve">4. Is de gelijkwaardigheidseis nog vervuld? Zeker relevant bij een aanstaande regelingswijziging.</w:t>
      </w:r>
    </w:p>
    <w:p>
      <w:pPr>
        <w:pStyle w:val="ListParagraph"/>
        <w:numPr>
          <w:ilvl w:val="0"/>
          <w:numId w:val="1"/>
        </w:numPr>
        <w:spacing w:after="80"/>
      </w:pPr>
      <w:r>
        <w:rPr>
          <w:rFonts w:ascii="Calibri" w:cs="Calibri" w:eastAsia="Calibri" w:hAnsi="Calibri"/>
          <w:sz w:val="22"/>
          <w:szCs w:val="22"/>
        </w:rPr>
        <w:t xml:space="preserve">5. Zo nee: is aansluiting bij het fonds al gebeurd, en per welke datum?</w:t>
      </w:r>
    </w:p>
    <w:p>
      <w:pPr>
        <w:pStyle w:val="ListParagraph"/>
        <w:numPr>
          <w:ilvl w:val="0"/>
          <w:numId w:val="1"/>
        </w:numPr>
        <w:spacing w:after="80"/>
      </w:pPr>
      <w:r>
        <w:rPr>
          <w:rFonts w:ascii="Calibri" w:cs="Calibri" w:eastAsia="Calibri" w:hAnsi="Calibri"/>
          <w:sz w:val="22"/>
          <w:szCs w:val="22"/>
        </w:rPr>
        <w:t xml:space="preserve">6. Pas daarna: welke regeling en welke uitvoerder passen?</w:t>
      </w:r>
    </w:p>
    <w:p>
      <w:pPr>
        <w:spacing w:after="140" w:line="300"/>
      </w:pPr>
      <w:r>
        <w:rPr>
          <w:rFonts w:ascii="Calibri" w:cs="Calibri" w:eastAsia="Calibri" w:hAnsi="Calibri"/>
          <w:b w:val="false"/>
          <w:bCs w:val="false"/>
          <w:i w:val="false"/>
          <w:iCs w:val="false"/>
          <w:sz w:val="22"/>
          <w:szCs w:val="22"/>
        </w:rPr>
        <w:t xml:space="preserve">Stap 3 verdient een waarschuwing. Werkgevers weten vaak wel dát zij vrijgesteld zijn, maar niet op welke grond en onder welke voorwaarden. Het besluit ligt soms twintig jaar in een la. Zonder dat document weet je niet welke ruimte er is bij een wijziging.</w:t>
      </w:r>
    </w:p>
    <w:p>
      <w:pPr>
        <w:spacing w:after="100"/>
      </w:pPr>
    </w:p>
    <w:p>
      <w:pPr>
        <w:pStyle w:val="Heading2"/>
        <w:spacing w:after="120" w:before="200"/>
      </w:pPr>
      <w:r>
        <w:rPr>
          <w:rFonts w:ascii="Georgia" w:cs="Georgia" w:eastAsia="Georgia" w:hAnsi="Georgia"/>
          <w:b/>
          <w:bCs/>
          <w:color w:val="2563A8"/>
          <w:sz w:val="28"/>
          <w:szCs w:val="28"/>
        </w:rPr>
        <w:t xml:space="preserve">4.10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Verplichtstelling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Ministerieel besluit dat deelname aan een bpf verplicht maakt voor een sector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Werkingssfeer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Omschrijving van de ondernemingen die onder de verplichtstelling vallen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Hoofdzakelijkheidscriterium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Toets welke activiteit overweegt, meestal naar loonsom of arbeidsuren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Vrijstelling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Ontheffing van verplichte deelname, op genormeerde gronden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Gelijkwaardigheid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Eis dat de eigen regeling ten minste gelijkwaardig is aan de fondsregeling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Vrijwillige aansluiting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Aansluiting bij een bpf zonder verplichting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Werkingssfeeronderzoek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Onderzoek naar de vraag of een onderneming onder een verplichtstelling valt</w:t>
            </w:r>
          </w:p>
        </w:tc>
      </w:tr>
    </w:tbl>
    <w:p>
      <w:pPr>
        <w:spacing w:after="100"/>
      </w:pPr>
    </w:p>
    <w:p>
      <w:pPr>
        <w:pStyle w:val="Heading2"/>
        <w:spacing w:after="120" w:before="200"/>
      </w:pPr>
      <w:r>
        <w:rPr>
          <w:rFonts w:ascii="Georgia" w:cs="Georgia" w:eastAsia="Georgia" w:hAnsi="Georgia"/>
          <w:b/>
          <w:bCs/>
          <w:color w:val="2563A8"/>
          <w:sz w:val="28"/>
          <w:szCs w:val="28"/>
        </w:rPr>
        <w:t xml:space="preserve">4.11 Samenvatting</w:t>
      </w:r>
    </w:p>
    <w:p>
      <w:pPr>
        <w:pStyle w:val="ListParagraph"/>
        <w:numPr>
          <w:ilvl w:val="0"/>
          <w:numId w:val="1"/>
        </w:numPr>
        <w:spacing w:after="80"/>
      </w:pPr>
      <w:r>
        <w:rPr>
          <w:rFonts w:ascii="Calibri" w:cs="Calibri" w:eastAsia="Calibri" w:hAnsi="Calibri"/>
          <w:sz w:val="22"/>
          <w:szCs w:val="22"/>
        </w:rPr>
        <w:t xml:space="preserve">Een verplichtstelling maakt deelname aan een bedrijfstakpensioenfonds verplicht voor alle werkgevers binnen de werkingssfeer; aanmelding is administratief, niet constitutief.</w:t>
      </w:r>
    </w:p>
    <w:p>
      <w:pPr>
        <w:pStyle w:val="ListParagraph"/>
        <w:numPr>
          <w:ilvl w:val="0"/>
          <w:numId w:val="1"/>
        </w:numPr>
        <w:spacing w:after="80"/>
      </w:pPr>
      <w:r>
        <w:rPr>
          <w:rFonts w:ascii="Calibri" w:cs="Calibri" w:eastAsia="Calibri" w:hAnsi="Calibri"/>
          <w:sz w:val="22"/>
          <w:szCs w:val="22"/>
        </w:rPr>
        <w:t xml:space="preserve">Bepalend is wat de onderneming feitelijk doet.</w:t>
      </w:r>
    </w:p>
    <w:p>
      <w:pPr>
        <w:pStyle w:val="ListParagraph"/>
        <w:numPr>
          <w:ilvl w:val="0"/>
          <w:numId w:val="1"/>
        </w:numPr>
        <w:spacing w:after="80"/>
      </w:pPr>
      <w:r>
        <w:rPr>
          <w:rFonts w:ascii="Calibri" w:cs="Calibri" w:eastAsia="Calibri" w:hAnsi="Calibri"/>
          <w:sz w:val="22"/>
          <w:szCs w:val="22"/>
        </w:rPr>
        <w:t xml:space="preserve">Een onopgemerkte verplichte aansluiting leidt tot premievordering met terugwerkende kracht; een verzekerde regeling ontslaat niet van de verplichting.</w:t>
      </w:r>
    </w:p>
    <w:p>
      <w:pPr>
        <w:pStyle w:val="ListParagraph"/>
        <w:numPr>
          <w:ilvl w:val="0"/>
          <w:numId w:val="1"/>
        </w:numPr>
        <w:spacing w:after="80"/>
      </w:pPr>
      <w:r>
        <w:rPr>
          <w:rFonts w:ascii="Calibri" w:cs="Calibri" w:eastAsia="Calibri" w:hAnsi="Calibri"/>
          <w:sz w:val="22"/>
          <w:szCs w:val="22"/>
        </w:rPr>
        <w:t xml:space="preserve">Vrijstelling is mogelijk op genormeerde gronden, met als kernvoorwaarde dat de eigen regeling ten minste gelijkwaardig is.</w:t>
      </w:r>
    </w:p>
    <w:p>
      <w:pPr>
        <w:pStyle w:val="ListParagraph"/>
        <w:numPr>
          <w:ilvl w:val="0"/>
          <w:numId w:val="1"/>
        </w:numPr>
        <w:spacing w:after="80"/>
      </w:pPr>
      <w:r>
        <w:rPr>
          <w:rFonts w:ascii="Calibri" w:cs="Calibri" w:eastAsia="Calibri" w:hAnsi="Calibri"/>
          <w:sz w:val="22"/>
          <w:szCs w:val="22"/>
        </w:rPr>
        <w:t xml:space="preserve">Onder de Wtp moet de gelijkwaardigheid opnieuw worden getoetst, terwijl fonds en werkgever niet gelijktijdig en niet in dezelfde vorm overgaan.</w:t>
      </w:r>
    </w:p>
    <w:p>
      <w:pPr>
        <w:pStyle w:val="ListParagraph"/>
        <w:numPr>
          <w:ilvl w:val="0"/>
          <w:numId w:val="1"/>
        </w:numPr>
        <w:spacing w:after="80"/>
      </w:pPr>
      <w:r>
        <w:rPr>
          <w:rFonts w:ascii="Calibri" w:cs="Calibri" w:eastAsia="Calibri" w:hAnsi="Calibri"/>
          <w:sz w:val="22"/>
          <w:szCs w:val="22"/>
        </w:rPr>
        <w:t xml:space="preserve">De volgorde is altijd: verplichtstelling → vrijstelling → regelingskeuze.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5.</w:t>
      </w:r>
      <w:r>
        <w:rPr>
          <w:rFonts w:ascii="Calibri" w:cs="Calibri" w:eastAsia="Calibri" w:hAnsi="Calibri"/>
          <w:b w:val="false"/>
          <w:bCs w:val="false"/>
          <w:i w:val="false"/>
          <w:iCs w:val="false"/>
          <w:sz w:val="22"/>
          <w:szCs w:val="22"/>
        </w:rPr>
        <w:t xml:space="preserve"> We hebben nu alles wat nodig is om de centrale vraag van deze cursus te beantwoorden: wanneer is een regeling Wtp-conform en wanneer niet? Deel 5 zet de volledige toets op een rij, voor fondsen en voor verzekerde regelingen, en bereidt het overgangsrecht van deel 6 en 7 voor.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61d16988320094b776e0f7e4b541d355c8e4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2026-08-17T11:22:43.424Z</dcterms:created>
  <dcterms:modified xsi:type="dcterms:W3CDTF">2026-08-17T11:22:43.424Z</dcterms:modified>
</cp:coreProperties>
</file>

<file path=docProps/custom.xml><?xml version="1.0" encoding="utf-8"?>
<Properties xmlns="http://schemas.openxmlformats.org/officeDocument/2006/custom-properties" xmlns:vt="http://schemas.openxmlformats.org/officeDocument/2006/docPropsVTypes"/>
</file>