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rFonts w:ascii="Georgia" w:cs="Georgia" w:eastAsia="Georgia" w:hAnsi="Georgia"/>
          <w:b/>
          <w:bCs/>
          <w:color w:val="14213D"/>
          <w:sz w:val="44"/>
          <w:szCs w:val="44"/>
        </w:rPr>
        <w:t xml:space="preserve">Werkboek — Deel 4 — Werkboek</w:t>
      </w:r>
    </w:p>
    <w:p>
      <w:pPr>
        <w:spacing w:after="300"/>
      </w:pPr>
      <w:r>
        <w:rPr>
          <w:rFonts w:ascii="Calibri" w:cs="Calibri" w:eastAsia="Calibri" w:hAnsi="Calibri"/>
          <w:i/>
          <w:iCs/>
          <w:color w:val="2563A8"/>
          <w:sz w:val="22"/>
          <w:szCs w:val="22"/>
        </w:rPr>
        <w:t xml:space="preserve">Niveau 1 — Fundament · Nederlandse pensioenverzekering</w:t>
      </w:r>
    </w:p>
    <w:p>
      <w:pPr>
        <w:pStyle w:val="Heading1"/>
        <w:pBdr>
          <w:bottom w:val="single" w:color="14213D" w:sz="12" w:space="4"/>
        </w:pBdr>
        <w:spacing w:after="160" w:before="240"/>
      </w:pPr>
      <w:r>
        <w:rPr>
          <w:rFonts w:ascii="Georgia" w:cs="Georgia" w:eastAsia="Georgia" w:hAnsi="Georgia"/>
          <w:b/>
          <w:bCs/>
          <w:color w:val="14213D"/>
          <w:sz w:val="36"/>
          <w:szCs w:val="36"/>
        </w:rPr>
        <w:t xml:space="preserve">Deel 4 — Werkboek</w:t>
      </w:r>
    </w:p>
    <w:p>
      <w:pPr>
        <w:spacing w:after="140" w:line="300"/>
      </w:pPr>
      <w:r>
        <w:rPr>
          <w:rFonts w:ascii="Calibri" w:cs="Calibri" w:eastAsia="Calibri" w:hAnsi="Calibri"/>
          <w:b w:val="false"/>
          <w:bCs w:val="false"/>
          <w:i w:val="false"/>
          <w:iCs w:val="false"/>
          <w:sz w:val="22"/>
          <w:szCs w:val="22"/>
        </w:rPr>
        <w:t xml:space="preserve"/>
      </w:r>
      <w:r>
        <w:rPr>
          <w:rFonts w:ascii="Calibri" w:cs="Calibri" w:eastAsia="Calibri" w:hAnsi="Calibri"/>
          <w:b/>
          <w:bCs/>
          <w:i w:val="false"/>
          <w:iCs w:val="false"/>
          <w:sz w:val="22"/>
          <w:szCs w:val="22"/>
        </w:rPr>
        <w:t xml:space="preserve">Niveau 1 · Fundament · Opdrachten met uitwerkingen</w:t>
      </w:r>
      <w:r>
        <w:rPr>
          <w:rFonts w:ascii="Calibri" w:cs="Calibri" w:eastAsia="Calibri" w:hAnsi="Calibri"/>
          <w:b w:val="false"/>
          <w:bCs w:val="false"/>
          <w:i w:val="false"/>
          <w:iCs w:val="false"/>
          <w:sz w:val="22"/>
          <w:szCs w:val="22"/>
        </w:rPr>
        <w:t xml:space="preserve"/>
      </w:r>
    </w:p>
    <w:p>
      <w:pPr>
        <w:spacing w:after="100"/>
      </w:pPr>
    </w:p>
    <w:p>
      <w:pPr>
        <w:pStyle w:val="Heading2"/>
        <w:spacing w:after="120" w:before="200"/>
      </w:pPr>
      <w:r>
        <w:rPr>
          <w:rFonts w:ascii="Georgia" w:cs="Georgia" w:eastAsia="Georgia" w:hAnsi="Georgia"/>
          <w:b/>
          <w:bCs/>
          <w:color w:val="2563A8"/>
          <w:sz w:val="28"/>
          <w:szCs w:val="28"/>
        </w:rPr>
        <w:t xml:space="preserve">Opdracht 4.1 — Feitelijke activiteit bepalen</w:t>
      </w:r>
    </w:p>
    <w:p>
      <w:pPr>
        <w:spacing w:after="140" w:line="300"/>
      </w:pPr>
      <w:r>
        <w:rPr>
          <w:rFonts w:ascii="Calibri" w:cs="Calibri" w:eastAsia="Calibri" w:hAnsi="Calibri"/>
          <w:b w:val="false"/>
          <w:bCs w:val="false"/>
          <w:i w:val="false"/>
          <w:iCs w:val="false"/>
          <w:sz w:val="22"/>
          <w:szCs w:val="22"/>
        </w:rPr>
        <w:t xml:space="preserve">Beoordeel per onderneming of zij vermoedelijk onder de werkingssfeer van een installatie-cao/fonds valt, en welke aanvullende vraag je stelt.</w:t>
      </w:r>
    </w:p>
    <w:p>
      <w:pPr>
        <w:spacing w:after="140" w:line="300"/>
      </w:pPr>
      <w:r>
        <w:rPr>
          <w:rFonts w:ascii="Calibri" w:cs="Calibri" w:eastAsia="Calibri" w:hAnsi="Calibri"/>
          <w:b w:val="false"/>
          <w:bCs w:val="false"/>
          <w:i w:val="false"/>
          <w:iCs w:val="false"/>
          <w:sz w:val="22"/>
          <w:szCs w:val="22"/>
        </w:rPr>
        <w:t xml:space="preserve">a. Een bedrijf van 12 medewerkers dat zonnepanelen verkoopt en installeert; 3 medewerkers in de verkoop, 9 monteurs.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ingenieursbureau van 40 medewerkers dat installatietechnische ontwerpen maakt en het werk laat uitvoeren door onderaannemers.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groothandel in installatiematerialen met een eigen servicedienst van 4 monteurs op 60 medewerkers.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holding zonder personeel met twee werkmaatschappijen: een installatiebedrijf en een schildersbedrijf.</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Waarschijnlijk wel: het zwaartepunt ligt bij installatiewerk. Aanvullende vraag: hoe verhoudt de loonsom van montage zich tot die van verkoop, en hoe is de omzet opgebouwd?</w:t>
      </w:r>
    </w:p>
    <w:p>
      <w:pPr>
        <w:spacing w:after="140" w:line="300"/>
      </w:pPr>
      <w:r>
        <w:rPr>
          <w:rFonts w:ascii="Calibri" w:cs="Calibri" w:eastAsia="Calibri" w:hAnsi="Calibri"/>
          <w:b w:val="false"/>
          <w:bCs w:val="false"/>
          <w:i w:val="false"/>
          <w:iCs w:val="false"/>
          <w:sz w:val="22"/>
          <w:szCs w:val="22"/>
        </w:rPr>
        <w:t xml:space="preserve">b. Waarschijnlijk niet: ontwerpen is geen installeren. Aanvullende vraag: verrichten eigen medewerkers ook uitvoerend werk, bijvoorbeeld inbedrijfstelling of toezicht ter plaatse? En bestaat er een werkingssfeer voor ingenieursbureaus die hier juist wél op ziet?</w:t>
      </w:r>
    </w:p>
    <w:p>
      <w:pPr>
        <w:spacing w:after="140" w:line="300"/>
      </w:pPr>
      <w:r>
        <w:rPr>
          <w:rFonts w:ascii="Calibri" w:cs="Calibri" w:eastAsia="Calibri" w:hAnsi="Calibri"/>
          <w:b w:val="false"/>
          <w:bCs w:val="false"/>
          <w:i w:val="false"/>
          <w:iCs w:val="false"/>
          <w:sz w:val="22"/>
          <w:szCs w:val="22"/>
        </w:rPr>
        <w:t xml:space="preserve">c. Waarschijnlijk niet voor het geheel; de handelsactiviteit overweegt. Aanvullende vraag: is de servicedienst een afzonderlijke onderneming of onderdeel van dezelfde rechtspersoon, en bestaat er een werkingssfeer voor de technische groothandel?</w:t>
      </w:r>
    </w:p>
    <w:p>
      <w:pPr>
        <w:spacing w:after="140" w:line="300"/>
      </w:pPr>
      <w:r>
        <w:rPr>
          <w:rFonts w:ascii="Calibri" w:cs="Calibri" w:eastAsia="Calibri" w:hAnsi="Calibri"/>
          <w:b w:val="false"/>
          <w:bCs w:val="false"/>
          <w:i w:val="false"/>
          <w:iCs w:val="false"/>
          <w:sz w:val="22"/>
          <w:szCs w:val="22"/>
        </w:rPr>
        <w:t xml:space="preserve">d. Per werkmaatschappij beoordelen. De holding zelf heeft geen personeel en valt dus feitelijk nergens onder. Aanvullende vraag: waar staan de medewerkers formeel op de loonlijst — dat is niet altijd waar zij feitelijk werken, en dat verschil is een bekende bron van geschillen.</w:t>
      </w:r>
    </w:p>
    <w:p>
      <w:pPr>
        <w:spacing w:after="140" w:line="300"/>
      </w:pPr>
      <w:r>
        <w:rPr>
          <w:rFonts w:ascii="Calibri" w:cs="Calibri" w:eastAsia="Calibri" w:hAnsi="Calibri"/>
          <w:b w:val="false"/>
          <w:bCs w:val="false"/>
          <w:i w:val="false"/>
          <w:iCs w:val="false"/>
          <w:sz w:val="22"/>
          <w:szCs w:val="22"/>
        </w:rPr>
        <w:t xml:space="preserve">Kernpunt: bij drie van de vier is het antwoord “waarschijnlijk”, niet “zeker”. Wie in dit vak zekerheid claimt zonder werkingssfeeronderzoek, neemt een risico voor rekening van zijn klant.</w:t>
      </w:r>
    </w:p>
    <w:p>
      <w:pPr>
        <w:spacing w:after="100"/>
      </w:pPr>
    </w:p>
    <w:p>
      <w:pPr>
        <w:pStyle w:val="Heading2"/>
        <w:spacing w:after="120" w:before="200"/>
      </w:pPr>
      <w:r>
        <w:rPr>
          <w:rFonts w:ascii="Georgia" w:cs="Georgia" w:eastAsia="Georgia" w:hAnsi="Georgia"/>
          <w:b/>
          <w:bCs/>
          <w:color w:val="2563A8"/>
          <w:sz w:val="28"/>
          <w:szCs w:val="28"/>
        </w:rPr>
        <w:t xml:space="preserve">Opdracht 4.2 — Het naheffingsscenario</w:t>
      </w:r>
    </w:p>
    <w:p>
      <w:pPr>
        <w:spacing w:after="140" w:line="300"/>
      </w:pPr>
      <w:r>
        <w:rPr>
          <w:rFonts w:ascii="Calibri" w:cs="Calibri" w:eastAsia="Calibri" w:hAnsi="Calibri"/>
          <w:b w:val="false"/>
          <w:bCs w:val="false"/>
          <w:i w:val="false"/>
          <w:iCs w:val="false"/>
          <w:sz w:val="22"/>
          <w:szCs w:val="22"/>
        </w:rPr>
        <w:t xml:space="preserve">Een installatiebedrijf van 25 medewerkers heeft sinds 2015 een verzekerde regeling bij een verzekeraar, premie 12% vlak. In 2026 stelt Bpf T&amp;I vast dat het bedrijf sinds 2015 onder de werkingssfeer viel en nooit vrijstelling heeft aangevraagd.</w:t>
      </w:r>
    </w:p>
    <w:p>
      <w:pPr>
        <w:spacing w:after="140" w:line="300"/>
      </w:pPr>
      <w:r>
        <w:rPr>
          <w:rFonts w:ascii="Calibri" w:cs="Calibri" w:eastAsia="Calibri" w:hAnsi="Calibri"/>
          <w:b w:val="false"/>
          <w:bCs w:val="false"/>
          <w:i w:val="false"/>
          <w:iCs w:val="false"/>
          <w:sz w:val="22"/>
          <w:szCs w:val="22"/>
        </w:rPr>
        <w:t xml:space="preserve">a. Wat kan het fonds vorderen?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Wat gebeurt er met de aanspraken die bij de verzekeraar zijn opgebouwd?</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is de positie van de werknemers?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Wie is hier aansprakelijk voor de fout, en wat had voorkomen kunnen worden?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Premie over de achterliggende periode, in beginsel met terugwerkende kracht, met de kanttekening dat over verjaring en over de precieze periode discussie mogelijk is. Dit is een substantieel bedrag: het gaat om jaren premie voor 25 medewerkers.</w:t>
      </w:r>
    </w:p>
    <w:p>
      <w:pPr>
        <w:spacing w:after="140" w:line="300"/>
      </w:pPr>
      <w:r>
        <w:rPr>
          <w:rFonts w:ascii="Calibri" w:cs="Calibri" w:eastAsia="Calibri" w:hAnsi="Calibri"/>
          <w:b w:val="false"/>
          <w:bCs w:val="false"/>
          <w:i w:val="false"/>
          <w:iCs w:val="false"/>
          <w:sz w:val="22"/>
          <w:szCs w:val="22"/>
        </w:rPr>
        <w:t xml:space="preserve">b. Die blijven bestaan bij de verzekeraar. Zij verdwijnen niet en ze verrekenen niet automatisch met de fondsverplichting. In de praktijk wordt gezocht naar een oplossing via waardeoverdracht of via een vrijstelling met terugwerkende kracht, maar dat is een onderhandeling, geen recht.</w:t>
      </w:r>
    </w:p>
    <w:p>
      <w:pPr>
        <w:spacing w:after="140" w:line="300"/>
      </w:pPr>
      <w:r>
        <w:rPr>
          <w:rFonts w:ascii="Calibri" w:cs="Calibri" w:eastAsia="Calibri" w:hAnsi="Calibri"/>
          <w:b w:val="false"/>
          <w:bCs w:val="false"/>
          <w:i w:val="false"/>
          <w:iCs w:val="false"/>
          <w:sz w:val="22"/>
          <w:szCs w:val="22"/>
        </w:rPr>
        <w:t xml:space="preserve">c. Die zijn er materieel beter aan toe: zij krijgen alsnog aanspraken bij het fonds én behouden wat bij de verzekeraar staat. Voor hen is dit geen probleem maar een meevaller — wat de onderhandelingspositie van de werkgever verzwakt.</w:t>
      </w:r>
    </w:p>
    <w:p>
      <w:pPr>
        <w:spacing w:after="140" w:line="300"/>
      </w:pPr>
      <w:r>
        <w:rPr>
          <w:rFonts w:ascii="Calibri" w:cs="Calibri" w:eastAsia="Calibri" w:hAnsi="Calibri"/>
          <w:b w:val="false"/>
          <w:bCs w:val="false"/>
          <w:i w:val="false"/>
          <w:iCs w:val="false"/>
          <w:sz w:val="22"/>
          <w:szCs w:val="22"/>
        </w:rPr>
        <w:t xml:space="preserve">d. De werkgever is verantwoordelijk voor naleving. Maar de adviseur die het contract sloot en verlengde zonder de werkingssfeer te toetsen, loopt een aansprakelijkheidsrisico. Voorkomen was mogelijk met een werkingssfeertoets bij aanvang en bij elke contractverlenging. Zie deel 18.</w:t>
      </w:r>
    </w:p>
    <w:p>
      <w:pPr>
        <w:spacing w:after="100"/>
      </w:pPr>
    </w:p>
    <w:p>
      <w:pPr>
        <w:pStyle w:val="Heading2"/>
        <w:spacing w:after="120" w:before="200"/>
      </w:pPr>
      <w:r>
        <w:rPr>
          <w:rFonts w:ascii="Georgia" w:cs="Georgia" w:eastAsia="Georgia" w:hAnsi="Georgia"/>
          <w:b/>
          <w:bCs/>
          <w:color w:val="2563A8"/>
          <w:sz w:val="28"/>
          <w:szCs w:val="28"/>
        </w:rPr>
        <w:t xml:space="preserve">Opdracht 4.3 — Vrijstellingsgronden herkennen</w:t>
      </w:r>
    </w:p>
    <w:p>
      <w:pPr>
        <w:spacing w:after="140" w:line="300"/>
      </w:pPr>
      <w:r>
        <w:rPr>
          <w:rFonts w:ascii="Calibri" w:cs="Calibri" w:eastAsia="Calibri" w:hAnsi="Calibri"/>
          <w:b w:val="false"/>
          <w:bCs w:val="false"/>
          <w:i w:val="false"/>
          <w:iCs w:val="false"/>
          <w:sz w:val="22"/>
          <w:szCs w:val="22"/>
        </w:rPr>
        <w:t xml:space="preserve">Welke vrijstellingsgrond ligt in elk geval het meest voor de hand?</w:t>
      </w:r>
    </w:p>
    <w:p>
      <w:pPr>
        <w:spacing w:after="140" w:line="300"/>
      </w:pPr>
      <w:r>
        <w:rPr>
          <w:rFonts w:ascii="Calibri" w:cs="Calibri" w:eastAsia="Calibri" w:hAnsi="Calibri"/>
          <w:b w:val="false"/>
          <w:bCs w:val="false"/>
          <w:i w:val="false"/>
          <w:iCs w:val="false"/>
          <w:sz w:val="22"/>
          <w:szCs w:val="22"/>
        </w:rPr>
        <w:t xml:space="preserve">a. Van Doorn Techniek: had al sinds 2004 een regeling bij Meridiaan; de verplichtstelling werd in 2009 uitgebreid naar het segment waarin Van Doorn actief is.</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Een werkmaatschappij van een internationaal concern dat wereldwijd één pensioenbeleid voert via een eigen uitvoerder.</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Een onderneming die valt onder een eigen ondernemings-cao met een uitgewerkte pensioenparagraaf.</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d. Een werkgever die vindt dat het fonds de afgelopen tien jaar slecht heeft belegd.</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a: bestaande eigen regeling van vóór de verplichtstelling. b: concernvrijstelling. c: eigen cao. d: de grond bestaat (onvoldoende beleggingsrendement) maar wordt zelden gehonoreerd; de criteria zijn strikt en de bewijslast ligt bij de werkgever. Waarschuw een klant die op deze grond hoopt: het is geen ontsnappingsroute.</w:t>
            </w:r>
          </w:p>
        </w:tc>
      </w:tr>
    </w:tbl>
    <w:p>
      <w:pPr>
        <w:spacing w:after="140" w:line="300"/>
      </w:pPr>
      <w:r>
        <w:rPr>
          <w:rFonts w:ascii="Calibri" w:cs="Calibri" w:eastAsia="Calibri" w:hAnsi="Calibri"/>
          <w:b w:val="false"/>
          <w:bCs w:val="false"/>
          <w:i w:val="false"/>
          <w:iCs w:val="false"/>
          <w:sz w:val="22"/>
          <w:szCs w:val="22"/>
        </w:rPr>
        <w:t xml:space="preserve">Bij a hoort een extra opmerking: de vrijstelling is verleend onder de voorwaarde van gelijkwaardigheid. Die voorwaarde is niet eenmalig maar doorlopend.</w:t>
      </w:r>
    </w:p>
    <w:p>
      <w:pPr>
        <w:spacing w:after="100"/>
      </w:pPr>
    </w:p>
    <w:p>
      <w:pPr>
        <w:pStyle w:val="Heading2"/>
        <w:spacing w:after="120" w:before="200"/>
      </w:pPr>
      <w:r>
        <w:rPr>
          <w:rFonts w:ascii="Georgia" w:cs="Georgia" w:eastAsia="Georgia" w:hAnsi="Georgia"/>
          <w:b/>
          <w:bCs/>
          <w:color w:val="2563A8"/>
          <w:sz w:val="28"/>
          <w:szCs w:val="28"/>
        </w:rPr>
        <w:t xml:space="preserve">Opdracht 4.4 — Gelijkwaardigheid en de transitie *</w:t>
      </w:r>
    </w:p>
    <w:p>
      <w:pPr>
        <w:spacing w:after="140" w:line="300"/>
      </w:pPr>
      <w:r>
        <w:rPr>
          <w:rFonts w:ascii="Calibri" w:cs="Calibri" w:eastAsia="Calibri" w:hAnsi="Calibri"/>
          <w:b w:val="false"/>
          <w:bCs w:val="false"/>
          <w:i w:val="false"/>
          <w:iCs w:val="false"/>
          <w:sz w:val="22"/>
          <w:szCs w:val="22"/>
        </w:rPr>
        <w:t xml:space="preserve">Bpf T&amp;I gaat per 1 januari 2027 over op een solidaire premieregeling met een vlakke premie van [PERCENTAGE] en een solidariteitsreserve. Van Doorn Techniek overweegt drie scenario’s:</w:t>
      </w:r>
    </w:p>
    <w:p>
      <w:pPr>
        <w:pStyle w:val="ListParagraph"/>
        <w:numPr>
          <w:ilvl w:val="0"/>
          <w:numId w:val="1"/>
        </w:numPr>
        <w:spacing w:after="80"/>
      </w:pPr>
      <w:r>
        <w:rPr>
          <w:rFonts w:ascii="Calibri" w:cs="Calibri" w:eastAsia="Calibri" w:hAnsi="Calibri"/>
          <w:sz w:val="22"/>
          <w:szCs w:val="22"/>
        </w:rPr>
        <w:t xml:space="preserve">Scenario A: per 1 januari 2027 over op een flexibele premieregeling met vlakke premie van 15% bij Meridiaan.</w:t>
      </w:r>
    </w:p>
    <w:p>
      <w:pPr>
        <w:pStyle w:val="ListParagraph"/>
        <w:numPr>
          <w:ilvl w:val="0"/>
          <w:numId w:val="1"/>
        </w:numPr>
        <w:spacing w:after="80"/>
      </w:pPr>
      <w:r>
        <w:rPr>
          <w:rFonts w:ascii="Calibri" w:cs="Calibri" w:eastAsia="Calibri" w:hAnsi="Calibri"/>
          <w:sz w:val="22"/>
          <w:szCs w:val="22"/>
        </w:rPr>
        <w:t xml:space="preserve">Scenario B: de staffel voortzetten voor bestaande deelnemers op grond van het overgangsrecht, en nieuwe medewerkers een vlakke premie van 15% geven.</w:t>
      </w:r>
    </w:p>
    <w:p>
      <w:pPr>
        <w:pStyle w:val="ListParagraph"/>
        <w:numPr>
          <w:ilvl w:val="0"/>
          <w:numId w:val="1"/>
        </w:numPr>
        <w:spacing w:after="80"/>
      </w:pPr>
      <w:r>
        <w:rPr>
          <w:rFonts w:ascii="Calibri" w:cs="Calibri" w:eastAsia="Calibri" w:hAnsi="Calibri"/>
          <w:sz w:val="22"/>
          <w:szCs w:val="22"/>
        </w:rPr>
        <w:t xml:space="preserve">Scenario C: de vrijstelling opgeven en alsnog aansluiten bij Bpf T&amp;I.</w:t>
      </w:r>
    </w:p>
    <w:p>
      <w:pPr>
        <w:spacing w:after="140" w:line="300"/>
      </w:pPr>
      <w:r>
        <w:rPr>
          <w:rFonts w:ascii="Calibri" w:cs="Calibri" w:eastAsia="Calibri" w:hAnsi="Calibri"/>
          <w:b w:val="false"/>
          <w:bCs w:val="false"/>
          <w:i w:val="false"/>
          <w:iCs w:val="false"/>
          <w:sz w:val="22"/>
          <w:szCs w:val="22"/>
        </w:rPr>
        <w:t xml:space="preserve">a. Welke vraag moet Van Doorn bij scenario A en B beantwoorden die bij een niet-vrijgestelde werkgever niet speelt?</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 risico loopt Van Doorn in scenario B specifiek?</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Noem twee argumenten voor en twee tegen scenario C.</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Blijft de eigen regeling ten minste gelijkwaardig aan de fondsregeling? De vrijstelling staat of valt daarmee, en beide regelingen veranderen tegelijk. Een niet-vrijgestelde werkgever heeft alleen met de wet te maken, een vrijgestelde ook met de fondsregeling als meetlat.</w:t>
      </w:r>
    </w:p>
    <w:p>
      <w:pPr>
        <w:spacing w:after="140" w:line="300"/>
      </w:pPr>
      <w:r>
        <w:rPr>
          <w:rFonts w:ascii="Calibri" w:cs="Calibri" w:eastAsia="Calibri" w:hAnsi="Calibri"/>
          <w:b w:val="false"/>
          <w:bCs w:val="false"/>
          <w:i w:val="false"/>
          <w:iCs w:val="false"/>
          <w:sz w:val="22"/>
          <w:szCs w:val="22"/>
        </w:rPr>
        <w:t xml:space="preserve">b. In scenario B ontstaan twee regelingen naast elkaar, waarvan er één op de oude staffel rust. De vergelijking met de fondsregeling wordt daarmee ingewikkelder, en het risico bestaat dat de gelijkwaardigheid voor een van beide groepen niet houdbaar blijkt. Bovendien loopt de overgangsgrond af — hij is eindig, en dan moet er alsnog worden omgebouwd.</w:t>
      </w:r>
    </w:p>
    <w:p>
      <w:pPr>
        <w:spacing w:after="140" w:line="300"/>
      </w:pPr>
      <w:r>
        <w:rPr>
          <w:rFonts w:ascii="Calibri" w:cs="Calibri" w:eastAsia="Calibri" w:hAnsi="Calibri"/>
          <w:b w:val="false"/>
          <w:bCs w:val="false"/>
          <w:i w:val="false"/>
          <w:iCs w:val="false"/>
          <w:sz w:val="22"/>
          <w:szCs w:val="22"/>
        </w:rPr>
        <w:t xml:space="preserve">c. Vóór: geen eigen transitietraject en geen eigen uitvoeringslast meer; ontslagen van de gelijkwaardigheidstoets; schaalvoordelen in kosten. Tegen: verlies van keuzevrijheid over regeling en uitvoerder; de fondspremie is niet noodzakelijk lager en niet beïnvloedbaar; de bestaande aanspraken bij Meridiaan blijven achter, dus de deelnemers houden hoe dan ook twee bronnen.</w:t>
      </w:r>
    </w:p>
    <w:p>
      <w:pPr>
        <w:spacing w:after="140" w:line="300"/>
      </w:pPr>
      <w:r>
        <w:rPr>
          <w:rFonts w:ascii="Calibri" w:cs="Calibri" w:eastAsia="Calibri" w:hAnsi="Calibri"/>
          <w:b w:val="false"/>
          <w:bCs w:val="false"/>
          <w:i w:val="false"/>
          <w:iCs w:val="false"/>
          <w:sz w:val="22"/>
          <w:szCs w:val="22"/>
        </w:rPr>
        <w:t xml:space="preserve">Beoordelingslijn: een sterk antwoord constateert dat scenario C wordt onderschat door adviseurs die uit de verzekerde wereld komen, en overschat door mensen uit de fondsenwereld. Het is een reële optie, geen nederlaag.</w:t>
      </w:r>
    </w:p>
    <w:p>
      <w:pPr>
        <w:spacing w:after="100"/>
      </w:pPr>
    </w:p>
    <w:p>
      <w:pPr>
        <w:pStyle w:val="Heading2"/>
        <w:spacing w:after="120" w:before="200"/>
      </w:pPr>
      <w:r>
        <w:rPr>
          <w:rFonts w:ascii="Georgia" w:cs="Georgia" w:eastAsia="Georgia" w:hAnsi="Georgia"/>
          <w:b/>
          <w:bCs/>
          <w:color w:val="2563A8"/>
          <w:sz w:val="28"/>
          <w:szCs w:val="28"/>
        </w:rPr>
        <w:t xml:space="preserve">Opdracht 4.5 — Het besluit opvragen</w:t>
      </w:r>
    </w:p>
    <w:p>
      <w:pPr>
        <w:spacing w:after="140" w:line="300"/>
      </w:pPr>
      <w:r>
        <w:rPr>
          <w:rFonts w:ascii="Calibri" w:cs="Calibri" w:eastAsia="Calibri" w:hAnsi="Calibri"/>
          <w:b w:val="false"/>
          <w:bCs w:val="false"/>
          <w:i w:val="false"/>
          <w:iCs w:val="false"/>
          <w:sz w:val="22"/>
          <w:szCs w:val="22"/>
        </w:rPr>
        <w:t xml:space="preserve">Anouk Verhagen (HR, Van Doorn) zegt: “Wij zijn vrijgesteld, dat weet ik zeker, dat is al zo sinds ik hier werk.”</w:t>
      </w:r>
    </w:p>
    <w:p>
      <w:pPr>
        <w:spacing w:after="140" w:line="300"/>
      </w:pPr>
      <w:r>
        <w:rPr>
          <w:rFonts w:ascii="Calibri" w:cs="Calibri" w:eastAsia="Calibri" w:hAnsi="Calibri"/>
          <w:b w:val="false"/>
          <w:bCs w:val="false"/>
          <w:i w:val="false"/>
          <w:iCs w:val="false"/>
          <w:sz w:val="22"/>
          <w:szCs w:val="22"/>
        </w:rPr>
        <w:t xml:space="preserve">a. Waarom is dit onvoldoende om op te bouwen?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Welke drie documenten vraag je op?</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Wat doe je als het besluit niet meer te vinden is?</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Omdat je zonder het besluit niet weet op welke grond de vrijstelling rust, welke voorwaarden eraan zijn verbonden en of er intussen iets is veranderd aan de activiteiten of aan de regeling. “Wij zijn vrijgesteld” is een herinnering, geen rechtsfeit.</w:t>
      </w:r>
    </w:p>
    <w:p>
      <w:pPr>
        <w:spacing w:after="140" w:line="300"/>
      </w:pPr>
      <w:r>
        <w:rPr>
          <w:rFonts w:ascii="Calibri" w:cs="Calibri" w:eastAsia="Calibri" w:hAnsi="Calibri"/>
          <w:b w:val="false"/>
          <w:bCs w:val="false"/>
          <w:i w:val="false"/>
          <w:iCs w:val="false"/>
          <w:sz w:val="22"/>
          <w:szCs w:val="22"/>
        </w:rPr>
        <w:t xml:space="preserve">b. Het vrijstellingsbesluit zelf; de bijbehorende gelijkwaardigheidsonderbouwing; de correspondentie over eventuele latere wijzigingen (uitbreiding activiteiten, regelingswijziging, contractwissel).</w:t>
      </w:r>
    </w:p>
    <w:p>
      <w:pPr>
        <w:spacing w:after="140" w:line="300"/>
      </w:pPr>
      <w:r>
        <w:rPr>
          <w:rFonts w:ascii="Calibri" w:cs="Calibri" w:eastAsia="Calibri" w:hAnsi="Calibri"/>
          <w:b w:val="false"/>
          <w:bCs w:val="false"/>
          <w:i w:val="false"/>
          <w:iCs w:val="false"/>
          <w:sz w:val="22"/>
          <w:szCs w:val="22"/>
        </w:rPr>
        <w:t xml:space="preserve">c. Opvragen bij het fonds — dat houdt de vrijstellingen bij. Doe dat schriftelijk en leg het antwoord vast. Vraag daarnaast bij de uitvoerder naar het dossier. Adviseer niet verder op basis van een aanname; noteer expliciet in je adviesdossier dat het besluit ontbrak en welke stappen je hebt gezet.</w:t>
      </w:r>
    </w:p>
    <w:p>
      <w:pPr>
        <w:spacing w:after="100"/>
      </w:pPr>
    </w:p>
    <w:p>
      <w:pPr>
        <w:pStyle w:val="Heading2"/>
        <w:spacing w:after="120" w:before="200"/>
      </w:pPr>
      <w:r>
        <w:rPr>
          <w:rFonts w:ascii="Georgia" w:cs="Georgia" w:eastAsia="Georgia" w:hAnsi="Georgia"/>
          <w:b/>
          <w:bCs/>
          <w:color w:val="2563A8"/>
          <w:sz w:val="28"/>
          <w:szCs w:val="28"/>
        </w:rPr>
        <w:t xml:space="preserve">Opdracht 4.6 — Delta Chemie en de omgekeerde beweging</w:t>
      </w:r>
    </w:p>
    <w:p>
      <w:pPr>
        <w:spacing w:after="140" w:line="300"/>
      </w:pPr>
      <w:r>
        <w:rPr>
          <w:rFonts w:ascii="Calibri" w:cs="Calibri" w:eastAsia="Calibri" w:hAnsi="Calibri"/>
          <w:b w:val="false"/>
          <w:bCs w:val="false"/>
          <w:i w:val="false"/>
          <w:iCs w:val="false"/>
          <w:sz w:val="22"/>
          <w:szCs w:val="22"/>
        </w:rPr>
        <w:t xml:space="preserve">Het bestuur van Delta Chemie overweegt liquidatie en overdracht van de rechten.</w:t>
      </w:r>
    </w:p>
    <w:p>
      <w:pPr>
        <w:spacing w:after="140" w:line="300"/>
      </w:pPr>
      <w:r>
        <w:rPr>
          <w:rFonts w:ascii="Calibri" w:cs="Calibri" w:eastAsia="Calibri" w:hAnsi="Calibri"/>
          <w:b w:val="false"/>
          <w:bCs w:val="false"/>
          <w:i w:val="false"/>
          <w:iCs w:val="false"/>
          <w:sz w:val="22"/>
          <w:szCs w:val="22"/>
        </w:rPr>
        <w:t xml:space="preserve">a. Noem drie ontvangende partijen die in aanmerking komen en het belangrijkste kenmerk van elk.</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b. Waarom is de Wtp-transitie een aanleiding om deze vraag nu te stellen?</w:t>
      </w:r>
      <w:r>
        <w:rPr>
          <w:rFonts w:ascii="Calibri" w:cs="Calibri" w:eastAsia="Calibri" w:hAnsi="Calibri"/>
          <w:sz w:val="22"/>
          <w:szCs w:val="22"/>
        </w:rPr>
        <w:t xml:space="preserve"> </w:t>
      </w:r>
      <w:r>
        <w:rPr>
          <w:rFonts w:ascii="Calibri" w:cs="Calibri" w:eastAsia="Calibri" w:hAnsi="Calibri"/>
          <w:b w:val="false"/>
          <w:bCs w:val="false"/>
          <w:i w:val="false"/>
          <w:iCs w:val="false"/>
          <w:sz w:val="22"/>
          <w:szCs w:val="22"/>
        </w:rPr>
        <w:t xml:space="preserve">c. Welke partij beslist hier uiteindelijk, en wie moet erbij worden betrokken?</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w:t>
            </w:r>
          </w:p>
        </w:tc>
      </w:tr>
    </w:tbl>
    <w:p>
      <w:pPr>
        <w:spacing w:after="140" w:line="300"/>
      </w:pPr>
      <w:r>
        <w:rPr>
          <w:rFonts w:ascii="Calibri" w:cs="Calibri" w:eastAsia="Calibri" w:hAnsi="Calibri"/>
          <w:b w:val="false"/>
          <w:bCs w:val="false"/>
          <w:i w:val="false"/>
          <w:iCs w:val="false"/>
          <w:sz w:val="22"/>
          <w:szCs w:val="22"/>
        </w:rPr>
        <w:t xml:space="preserve">a. Een APF-kring (fondsuitvoering behouden zonder eigen bestuur); een verzekeraar (zekerheid en overname van verplichtingen, tegen een prijs); een bedrijfstakpensioenfonds als de werkgever binnen de werkingssfeer past (schaal, maar verlies van eigen regeling).</w:t>
      </w:r>
    </w:p>
    <w:p>
      <w:pPr>
        <w:spacing w:after="140" w:line="300"/>
      </w:pPr>
      <w:r>
        <w:rPr>
          <w:rFonts w:ascii="Calibri" w:cs="Calibri" w:eastAsia="Calibri" w:hAnsi="Calibri"/>
          <w:b w:val="false"/>
          <w:bCs w:val="false"/>
          <w:i w:val="false"/>
          <w:iCs w:val="false"/>
          <w:sz w:val="22"/>
          <w:szCs w:val="22"/>
        </w:rPr>
        <w:t xml:space="preserve">b. Omdat de transitie het fonds sowieso dwingt tot een omvangrijk traject — regelingswijziging, invaarbesluit, datakwaliteit, communicatie — en de vaste kosten daarvan bij een krimpend bestand zwaar wegen. Wie toch alles moet openbreken, kan tegelijk de vraag stellen of zelfstandig voortbestaan nog verantwoord is.</w:t>
      </w:r>
    </w:p>
    <w:p>
      <w:pPr>
        <w:spacing w:after="140" w:line="300"/>
      </w:pPr>
      <w:r>
        <w:rPr>
          <w:rFonts w:ascii="Calibri" w:cs="Calibri" w:eastAsia="Calibri" w:hAnsi="Calibri"/>
          <w:b w:val="false"/>
          <w:bCs w:val="false"/>
          <w:i w:val="false"/>
          <w:iCs w:val="false"/>
          <w:sz w:val="22"/>
          <w:szCs w:val="22"/>
        </w:rPr>
        <w:t xml:space="preserve">c. Het fondsbestuur besluit, met betrokkenheid van het verantwoordingsorgaan of belanghebbendenorgaan en het intern toezicht, en met DNB als toezichthouder bij collectieve waardeoverdracht. Daarnaast de werkgever, want er is een uitvoeringsovereenkomst met verplichtingen die moeten worden afgewikkeld.</w:t>
      </w:r>
    </w:p>
    <w:p>
      <w:pPr>
        <w:spacing w:after="100"/>
      </w:pPr>
    </w:p>
    <w:p>
      <w:pPr>
        <w:pStyle w:val="Heading2"/>
        <w:spacing w:after="120" w:before="200"/>
      </w:pPr>
      <w:r>
        <w:rPr>
          <w:rFonts w:ascii="Georgia" w:cs="Georgia" w:eastAsia="Georgia" w:hAnsi="Georgia"/>
          <w:b/>
          <w:bCs/>
          <w:color w:val="2563A8"/>
          <w:sz w:val="28"/>
          <w:szCs w:val="28"/>
        </w:rPr>
        <w:t xml:space="preserve">Opdracht 4.7 — De volgorde bewaken</w:t>
      </w:r>
    </w:p>
    <w:p>
      <w:pPr>
        <w:spacing w:after="140" w:line="300"/>
      </w:pPr>
      <w:r>
        <w:rPr>
          <w:rFonts w:ascii="Calibri" w:cs="Calibri" w:eastAsia="Calibri" w:hAnsi="Calibri"/>
          <w:b w:val="false"/>
          <w:bCs w:val="false"/>
          <w:i w:val="false"/>
          <w:iCs w:val="false"/>
          <w:sz w:val="22"/>
          <w:szCs w:val="22"/>
        </w:rPr>
        <w:t xml:space="preserve">Een adviseur schrijft in zijn offerte aan een nieuwe klant met 30 medewerkers:</w:t>
      </w:r>
    </w:p>
    <w:tbl>
      <w:tblPr>
        <w:tblW w:type="pct" w:w="100%"/>
        <w:tblBorders>
          <w:top w:val="single" w:color="F2F2F2" w:sz="2"/>
          <w:left w:val="single" w:color="2563A8" w:sz="36"/>
          <w:bottom w:val="single" w:color="F2F2F2" w:sz="2"/>
          <w:right w:val="single" w:color="F2F2F2" w:sz="2"/>
          <w:insideH w:val="single" w:color="auto" w:sz="4"/>
          <w:insideV w:val="single" w:color="auto" w:sz="4"/>
        </w:tblBorders>
      </w:tblPr>
      <w:tblGrid>
        <w:gridCol w:w="100"/>
      </w:tblGrid>
      <w:tr>
        <w:tc>
          <w:tcPr>
            <w:shd w:fill="F2F2F2" w:color="auto" w:val="clear"/>
            <w:tcMar>
              <w:top w:type="dxa" w:w="160"/>
              <w:left w:type="dxa" w:w="220"/>
              <w:bottom w:type="dxa" w:w="160"/>
              <w:right w:type="dxa" w:w="220"/>
            </w:tcMar>
          </w:tcPr>
          <w:p>
            <w:pPr>
              <w:spacing w:after="100" w:line="280"/>
            </w:pPr>
            <w:r>
              <w:rPr>
                <w:rFonts w:ascii="Calibri" w:cs="Calibri" w:eastAsia="Calibri" w:hAnsi="Calibri"/>
                <w:i/>
                <w:iCs/>
                <w:sz w:val="22"/>
                <w:szCs w:val="22"/>
              </w:rPr>
              <w:t xml:space="preserve">“Wij adviseren een flexibele premieregeling bij een PPI, met een vlakke premie van 13,5% en een lifecycle met drie risicoprofielen. Wij hebben drie aanbieders vergeleken.”</w:t>
            </w:r>
          </w:p>
        </w:tc>
      </w:tr>
    </w:tbl>
    <w:p>
      <w:pPr>
        <w:spacing w:after="140" w:line="300"/>
      </w:pPr>
      <w:r>
        <w:rPr>
          <w:rFonts w:ascii="Calibri" w:cs="Calibri" w:eastAsia="Calibri" w:hAnsi="Calibri"/>
          <w:b w:val="false"/>
          <w:bCs w:val="false"/>
          <w:i w:val="false"/>
          <w:iCs w:val="false"/>
          <w:sz w:val="22"/>
          <w:szCs w:val="22"/>
        </w:rPr>
        <w:t xml:space="preserve">Wat ontbreekt er, en waarom is dat ernstiger dan een verkeerd gekozen premiepercentage?</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De werkingssfeertoets ontbreekt. Er staat nergens of deze werkgever überhaupt vrij is om te kiezen. Een verkeerd premiepercentage is een kwestie van heronderhandelen; een gemiste verplichtstelling is een naheffing met terugwerkende kracht plus dubbele opbouw. Het ernstiger karakter zit in de onherstelbaarheid en in de omvang.</w:t>
            </w:r>
          </w:p>
        </w:tc>
      </w:tr>
    </w:tbl>
    <w:p>
      <w:pPr>
        <w:spacing w:after="140" w:line="300"/>
      </w:pPr>
      <w:r>
        <w:rPr>
          <w:rFonts w:ascii="Calibri" w:cs="Calibri" w:eastAsia="Calibri" w:hAnsi="Calibri"/>
          <w:b w:val="false"/>
          <w:bCs w:val="false"/>
          <w:i w:val="false"/>
          <w:iCs w:val="false"/>
          <w:sz w:val="22"/>
          <w:szCs w:val="22"/>
        </w:rPr>
        <w:t xml:space="preserve">Beoordelingslijn: sterke antwoorden merken op dat “wij hebben drie aanbieders vergeleken” de suggestie wekt van zorgvuldigheid, en dat die suggestie de ontbrekende basiscontrole juist verhult.</w:t>
      </w:r>
    </w:p>
    <w:p>
      <w:pPr>
        <w:spacing w:after="100"/>
      </w:pPr>
    </w:p>
    <w:p>
      <w:pPr>
        <w:pStyle w:val="Heading2"/>
        <w:spacing w:after="120" w:before="200"/>
      </w:pPr>
      <w:r>
        <w:rPr>
          <w:rFonts w:ascii="Georgia" w:cs="Georgia" w:eastAsia="Georgia" w:hAnsi="Georgia"/>
          <w:b/>
          <w:bCs/>
          <w:color w:val="2563A8"/>
          <w:sz w:val="28"/>
          <w:szCs w:val="28"/>
        </w:rPr>
        <w:t xml:space="preserve">Opdracht 4.8 — Praktijkopdracht</w:t>
      </w:r>
    </w:p>
    <w:p>
      <w:pPr>
        <w:spacing w:after="140" w:line="300"/>
      </w:pPr>
      <w:r>
        <w:rPr>
          <w:rFonts w:ascii="Calibri" w:cs="Calibri" w:eastAsia="Calibri" w:hAnsi="Calibri"/>
          <w:b w:val="false"/>
          <w:bCs w:val="false"/>
          <w:i w:val="false"/>
          <w:iCs w:val="false"/>
          <w:sz w:val="22"/>
          <w:szCs w:val="22"/>
        </w:rPr>
        <w:t xml:space="preserve">Zoek voor de organisatie uit opdracht 1.8 uit: valt zij onder een verplichtstelling, is er een vrijstelling, en zo ja op welke grond? Noteer je bronnen en wat je niet hebt kunnen achterhalen. Neem het resultaat mee naar deel 5.</w:t>
      </w:r>
    </w:p>
    <w:tbl>
      <w:tblPr>
        <w:tblW w:type="pct" w:w="100%"/>
        <w:tblBorders>
          <w:top w:val="single" w:color="E9A13B" w:sz="4"/>
          <w:left w:val="single" w:color="E9A13B" w:sz="4"/>
          <w:bottom w:val="single" w:color="E9A13B" w:sz="4"/>
          <w:right w:val="single" w:color="E9A13B" w:sz="4"/>
          <w:insideH w:val="single" w:color="auto" w:sz="4"/>
          <w:insideV w:val="single" w:color="auto" w:sz="4"/>
        </w:tblBorders>
      </w:tblPr>
      <w:tblGrid>
        <w:gridCol w:w="100"/>
      </w:tblGrid>
      <w:tr>
        <w:tc>
          <w:tcPr>
            <w:shd w:fill="14213D" w:color="auto" w:val="clear"/>
            <w:tcMar>
              <w:top w:type="dxa" w:w="40"/>
              <w:left w:type="dxa" w:w="220"/>
              <w:bottom w:type="dxa" w:w="0"/>
              <w:right w:type="dxa" w:w="220"/>
            </w:tcMar>
          </w:tcPr>
          <w:p>
            <w:pPr>
              <w:spacing w:after="100"/>
            </w:pPr>
            <w:r>
              <w:rPr>
                <w:rFonts w:ascii="Georgia" w:cs="Georgia" w:eastAsia="Georgia" w:hAnsi="Georgia"/>
                <w:b/>
                <w:bCs/>
                <w:color w:val="FFFFFF"/>
                <w:sz w:val="22"/>
                <w:szCs w:val="22"/>
              </w:rPr>
              <w:t xml:space="preserve">UITWERKING</w:t>
            </w:r>
          </w:p>
        </w:tc>
      </w:tr>
      <w:tr>
        <w:tc>
          <w:tcPr>
            <w:shd w:fill="FBF3E7" w:color="auto" w:val="clear"/>
            <w:tcMar>
              <w:top w:type="dxa" w:w="160"/>
              <w:left w:type="dxa" w:w="220"/>
              <w:bottom w:type="dxa" w:w="160"/>
              <w:right w:type="dxa" w:w="220"/>
            </w:tcMar>
          </w:tcPr>
          <w:p>
            <w:pPr>
              <w:spacing w:after="100" w:line="280"/>
            </w:pPr>
            <w:r>
              <w:rPr>
                <w:rFonts w:ascii="Calibri" w:cs="Calibri" w:eastAsia="Calibri" w:hAnsi="Calibri"/>
                <w:sz w:val="22"/>
                <w:szCs w:val="22"/>
              </w:rPr>
              <w:t xml:space="preserve">Uitwerking. Geen modelantwoord. Beoordelingscriteria: de feitelijke activiteit is beschreven en niet alleen de KvK-omschrijving; de werkingssfeertekst is geraadpleegd of expliciet als niet-gevonden gemarkeerd; er is onderscheid gemaakt tussen wat vaststaat en wat is aangenomen.</w:t>
            </w:r>
          </w:p>
        </w:tc>
      </w:tr>
    </w:tbl>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888888"/>
        <w:sz w:val="16"/>
        <w:szCs w:val="16"/>
      </w:rPr>
      <w:t xml:space="preserve">Pagina </w:t>
    </w:r>
    <w:r>
      <w:rPr>
        <w:rFonts w:ascii="Calibri" w:cs="Calibri" w:eastAsia="Calibri" w:hAnsi="Calibri"/>
        <w:color w:val="888888"/>
        <w:sz w:val="16"/>
        <w:szCs w:val="16"/>
      </w:rPr>
      <w:fldChar w:fldCharType="begin"/>
      <w:instrText xml:space="preserve">PAGE</w:instrText>
      <w:fldChar w:fldCharType="separate"/>
      <w:fldChar w:fldCharType="end"/>
    </w:r>
    <w:r>
      <w:rPr>
        <w:rFonts w:ascii="Calibri" w:cs="Calibri" w:eastAsia="Calibri" w:hAnsi="Calibri"/>
        <w:color w:val="888888"/>
        <w:sz w:val="16"/>
        <w:szCs w:val="16"/>
      </w:rPr>
      <w:t xml:space="preserve"> van </w:t>
    </w:r>
    <w:r>
      <w:rPr>
        <w:rFonts w:ascii="Calibri" w:cs="Calibri" w:eastAsia="Calibri" w:hAnsi="Calibri"/>
        <w:color w:val="888888"/>
        <w:sz w:val="16"/>
        <w:szCs w:val="16"/>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563A8" w:sz="6" w:space="4"/>
      </w:pBdr>
      <w:jc w:val="right"/>
    </w:pPr>
    <w:r>
      <w:rPr>
        <w:rFonts w:ascii="Calibri" w:cs="Calibri" w:eastAsia="Calibri" w:hAnsi="Calibri"/>
        <w:color w:val="2563A8"/>
        <w:sz w:val="16"/>
        <w:szCs w:val="16"/>
      </w:rPr>
      <w:t xml:space="preserve">Nederlandse pensioenverzekering · Niveau 1 — Fundament · Deel 4</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2026-08-17T11:22:43.495Z</dcterms:created>
  <dcterms:modified xsi:type="dcterms:W3CDTF">2026-08-17T11:22:43.495Z</dcterms:modified>
</cp:coreProperties>
</file>

<file path=docProps/custom.xml><?xml version="1.0" encoding="utf-8"?>
<Properties xmlns="http://schemas.openxmlformats.org/officeDocument/2006/custom-properties" xmlns:vt="http://schemas.openxmlformats.org/officeDocument/2006/docPropsVTypes"/>
</file>