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Docentenhandleiding — Deel 5 — Docentenhandleiding</w:t>
      </w:r>
    </w:p>
    <w:p>
      <w:pPr>
        <w:spacing w:after="300"/>
      </w:pPr>
      <w:r>
        <w:rPr>
          <w:rFonts w:ascii="Calibri" w:cs="Calibri" w:eastAsia="Calibri" w:hAnsi="Calibri"/>
          <w:i/>
          <w:iCs/>
          <w:color w:val="2563A8"/>
          <w:sz w:val="22"/>
          <w:szCs w:val="22"/>
        </w:rPr>
        <w:t xml:space="preserve">Niveau 1 — Fundament · Nederlandse pensioenverzekering</w:t>
      </w:r>
    </w:p>
    <w:p>
      <w:pPr>
        <w:pStyle w:val="Heading1"/>
        <w:pBdr>
          <w:bottom w:val="single" w:color="14213D" w:sz="12" w:space="4"/>
        </w:pBdr>
        <w:spacing w:after="160" w:before="240"/>
      </w:pPr>
      <w:r>
        <w:rPr>
          <w:rFonts w:ascii="Georgia" w:cs="Georgia" w:eastAsia="Georgia" w:hAnsi="Georgia"/>
          <w:b/>
          <w:bCs/>
          <w:color w:val="14213D"/>
          <w:sz w:val="36"/>
          <w:szCs w:val="36"/>
        </w:rPr>
        <w:t xml:space="preserve">Deel 5 — Docentenhandleiding</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Niveau 1 · Fundament · Eén dagdeel (3 uur inclusief pauze)</w:t>
      </w:r>
      <w:r>
        <w:rPr>
          <w:rFonts w:ascii="Calibri" w:cs="Calibri" w:eastAsia="Calibri" w:hAnsi="Calibri"/>
          <w:b w:val="false"/>
          <w:bCs w:val="false"/>
          <w:i w:val="false"/>
          <w:iCs w:val="false"/>
          <w:sz w:val="22"/>
          <w:szCs w:val="22"/>
        </w:rPr>
        <w:t xml:space="preserve"/>
      </w:r>
    </w:p>
    <w:p>
      <w:pPr>
        <w:spacing w:after="100"/>
      </w:pPr>
    </w:p>
    <w:p>
      <w:pPr>
        <w:pStyle w:val="Heading2"/>
        <w:spacing w:after="120" w:before="200"/>
      </w:pPr>
      <w:r>
        <w:rPr>
          <w:rFonts w:ascii="Georgia" w:cs="Georgia" w:eastAsia="Georgia" w:hAnsi="Georgia"/>
          <w:b/>
          <w:bCs/>
          <w:color w:val="2563A8"/>
          <w:sz w:val="28"/>
          <w:szCs w:val="28"/>
        </w:rPr>
        <w:t xml:space="preserve">Doel van dit dagdeel</w:t>
      </w:r>
    </w:p>
    <w:p>
      <w:pPr>
        <w:spacing w:after="140" w:line="300"/>
      </w:pPr>
      <w:r>
        <w:rPr>
          <w:rFonts w:ascii="Calibri" w:cs="Calibri" w:eastAsia="Calibri" w:hAnsi="Calibri"/>
          <w:b w:val="false"/>
          <w:bCs w:val="false"/>
          <w:i w:val="false"/>
          <w:iCs w:val="false"/>
          <w:sz w:val="22"/>
          <w:szCs w:val="22"/>
        </w:rPr>
        <w:t xml:space="preserve">Dit is het scharnierdeel van niveau 1. Alles ervoor was voorbereiding; alles erna bouwt hierop. Aan het eind moet elke deelnemer zelfstandig de vier toetsen kunnen uitvoeren en het verschil kunnen uitleggen tussen eisen aan nieuwe opbouw en het lot van bestaande aanspraken.</w:t>
      </w:r>
    </w:p>
    <w:p>
      <w:pPr>
        <w:spacing w:after="140" w:line="300"/>
      </w:pPr>
      <w:r>
        <w:rPr>
          <w:rFonts w:ascii="Calibri" w:cs="Calibri" w:eastAsia="Calibri" w:hAnsi="Calibri"/>
          <w:b w:val="false"/>
          <w:bCs w:val="false"/>
          <w:i w:val="false"/>
          <w:iCs w:val="false"/>
          <w:sz w:val="22"/>
          <w:szCs w:val="22"/>
        </w:rPr>
        <w:t xml:space="preserve">Als je aan het eind van het dagdeel moet kiezen wat er in elk geval moet zijn geland, kies dan deze twee:</w:t>
      </w:r>
    </w:p>
    <w:p>
      <w:pPr>
        <w:pStyle w:val="ListParagraph"/>
        <w:numPr>
          <w:ilvl w:val="0"/>
          <w:numId w:val="1"/>
        </w:numPr>
        <w:spacing w:after="80"/>
      </w:pPr>
      <w:r>
        <w:rPr>
          <w:rFonts w:ascii="Calibri" w:cs="Calibri" w:eastAsia="Calibri" w:hAnsi="Calibri"/>
          <w:sz w:val="22"/>
          <w:szCs w:val="22"/>
        </w:rPr>
        <w:t xml:space="preserve">1. Vier toetsen, niet één. Een vlakke premie is geen bewijs van conformiteit.</w:t>
      </w:r>
    </w:p>
    <w:p>
      <w:pPr>
        <w:pStyle w:val="ListParagraph"/>
        <w:numPr>
          <w:ilvl w:val="0"/>
          <w:numId w:val="1"/>
        </w:numPr>
        <w:spacing w:after="80"/>
      </w:pPr>
      <w:r>
        <w:rPr>
          <w:rFonts w:ascii="Calibri" w:cs="Calibri" w:eastAsia="Calibri" w:hAnsi="Calibri"/>
          <w:sz w:val="22"/>
          <w:szCs w:val="22"/>
        </w:rPr>
        <w:t xml:space="preserve">2. Opbouw ≠ bestaande aanspraken. Twee vragen, twee antwoorden, altijd apart.</w:t>
      </w:r>
    </w:p>
    <w:p>
      <w:pPr>
        <w:spacing w:after="100"/>
      </w:pPr>
    </w:p>
    <w:p>
      <w:pPr>
        <w:pStyle w:val="Heading2"/>
        <w:spacing w:after="120" w:before="200"/>
      </w:pPr>
      <w:r>
        <w:rPr>
          <w:rFonts w:ascii="Georgia" w:cs="Georgia" w:eastAsia="Georgia" w:hAnsi="Georgia"/>
          <w:b/>
          <w:bCs/>
          <w:color w:val="2563A8"/>
          <w:sz w:val="28"/>
          <w:szCs w:val="28"/>
        </w:rPr>
        <w:t xml:space="preserve">Tijdschema</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tblGrid>
      <w:tr>
        <w:trPr>
          <w:tblHeader/>
        </w:trPr>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Tijd</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Onderdeel</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Werkvorm</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0:00–0:10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Vragen uit deel 4 en huiswerk inventariseren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Plenair, flap</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0:10–0:45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 vier toetsen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College, figuur 5-1</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0:45–1:05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5.1 vier regelingen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Drietallen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1:05–1:20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Pauze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1:20–1:40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Opbouw versus bestaande aanspraken + opdracht 5.2</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College en duo’s</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1:40–2:05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Fondsenroute en verzekerde route, opdracht 5.3</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College met tabel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2:05–2:30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 tijdlijn van Van Doorn, opdracht 5.4</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Drietallen, achteruit werken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2:30–2:50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5.5 “uitstellen is niet neutraal”</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Individueel schrijven, twee voorlezen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2:50–3:00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Vijf fouten, huiswerk, vragen voor deel 6</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Afsluiting</w:t>
            </w:r>
          </w:p>
        </w:tc>
      </w:tr>
    </w:tbl>
    <w:p>
      <w:pPr>
        <w:spacing w:after="100"/>
      </w:pPr>
    </w:p>
    <w:p>
      <w:pPr>
        <w:pStyle w:val="Heading2"/>
        <w:spacing w:after="120" w:before="200"/>
      </w:pPr>
      <w:r>
        <w:rPr>
          <w:rFonts w:ascii="Georgia" w:cs="Georgia" w:eastAsia="Georgia" w:hAnsi="Georgia"/>
          <w:b/>
          <w:bCs/>
          <w:color w:val="2563A8"/>
          <w:sz w:val="28"/>
          <w:szCs w:val="28"/>
        </w:rPr>
        <w:t xml:space="preserve">Aandachtspunten per onderdeel</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Openen met vragen.</w:t>
      </w:r>
      <w:r>
        <w:rPr>
          <w:rFonts w:ascii="Calibri" w:cs="Calibri" w:eastAsia="Calibri" w:hAnsi="Calibri"/>
          <w:b w:val="false"/>
          <w:bCs w:val="false"/>
          <w:i w:val="false"/>
          <w:iCs w:val="false"/>
          <w:sz w:val="22"/>
          <w:szCs w:val="22"/>
        </w:rPr>
        <w:t xml:space="preserve"> Begin met de flap “Deel 6” uit de vorige dagdelen. Daar staan de geparkeerde overgangsrechtvragen. Zeg dat je ze vandaag nog niet beantwoordt maar dat deel 6 er volledig aan gewijd is. Dat maakt de opbouw expliciet en voorkomt dat het dagdeel wordt gekaapt door de staffelvraag.</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De vier toetsen.</w:t>
      </w:r>
      <w:r>
        <w:rPr>
          <w:rFonts w:ascii="Calibri" w:cs="Calibri" w:eastAsia="Calibri" w:hAnsi="Calibri"/>
          <w:b w:val="false"/>
          <w:bCs w:val="false"/>
          <w:i w:val="false"/>
          <w:iCs w:val="false"/>
          <w:sz w:val="22"/>
          <w:szCs w:val="22"/>
        </w:rPr>
        <w:t xml:space="preserve"> Bouw ze één voor één op de flap, in volgorde, met per toets de vervolgvraag bij “nee”. Laat de kaart de hele rest van de cursus hangen; deelnemers gaan hem overschrijven.</w:t>
      </w:r>
    </w:p>
    <w:p>
      <w:pPr>
        <w:spacing w:after="140" w:line="300"/>
      </w:pPr>
      <w:r>
        <w:rPr>
          <w:rFonts w:ascii="Calibri" w:cs="Calibri" w:eastAsia="Calibri" w:hAnsi="Calibri"/>
          <w:b w:val="false"/>
          <w:bCs w:val="false"/>
          <w:i w:val="false"/>
          <w:iCs w:val="false"/>
          <w:sz w:val="22"/>
          <w:szCs w:val="22"/>
        </w:rPr>
        <w:t xml:space="preserve">Bij toets 3: noem </w:t>
      </w:r>
      <w:r>
        <w:rPr>
          <w:rFonts w:ascii="Calibri" w:cs="Calibri" w:eastAsia="Calibri" w:hAnsi="Calibri"/>
          <w:b/>
          <w:bCs/>
          <w:i w:val="false"/>
          <w:iCs w:val="false"/>
          <w:sz w:val="22"/>
          <w:szCs w:val="22"/>
        </w:rPr>
        <w:t xml:space="preserve">geen</w:t>
      </w:r>
      <w:r>
        <w:rPr>
          <w:rFonts w:ascii="Calibri" w:cs="Calibri" w:eastAsia="Calibri" w:hAnsi="Calibri"/>
          <w:b w:val="false"/>
          <w:bCs w:val="false"/>
          <w:i w:val="false"/>
          <w:iCs w:val="false"/>
          <w:sz w:val="22"/>
          <w:szCs w:val="22"/>
        </w:rPr>
        <w:t xml:space="preserve"> percentage uit het hoofd. Schrijf </w:t>
      </w:r>
      <w:r>
        <w:rPr>
          <w:rFonts w:ascii="Calibri" w:cs="Calibri" w:eastAsia="Calibri" w:hAnsi="Calibri"/>
          <w:b w:val="false"/>
          <w:bCs w:val="false"/>
          <w:i w:val="false"/>
          <w:iCs w:val="false"/>
          <w:sz w:val="22"/>
          <w:szCs w:val="22"/>
        </w:rPr>
        <w:t xml:space="preserve">[PREMIEGRENS-JAAR]</w:t>
      </w:r>
      <w:r>
        <w:rPr>
          <w:rFonts w:ascii="Calibri" w:cs="Calibri" w:eastAsia="Calibri" w:hAnsi="Calibri"/>
          <w:b w:val="false"/>
          <w:bCs w:val="false"/>
          <w:i w:val="false"/>
          <w:iCs w:val="false"/>
          <w:sz w:val="22"/>
          <w:szCs w:val="22"/>
        </w:rPr>
        <w:t xml:space="preserve"> op de flap en leg uit waarom: de grens wordt periodiek herijkt en een adviseur die met een verouderd percentage werkt, maakt een fout die niet te herstellen is met “dat wist ik zo uit mijn hoofd”. Dit is ook een beroepshoudingsles.</w:t>
      </w:r>
    </w:p>
    <w:p>
      <w:pPr>
        <w:spacing w:after="140" w:line="300"/>
      </w:pPr>
      <w:r>
        <w:rPr>
          <w:rFonts w:ascii="Calibri" w:cs="Calibri" w:eastAsia="Calibri" w:hAnsi="Calibri"/>
          <w:b w:val="false"/>
          <w:bCs w:val="false"/>
          <w:i w:val="false"/>
          <w:iCs w:val="false"/>
          <w:sz w:val="22"/>
          <w:szCs w:val="22"/>
        </w:rPr>
        <w:t xml:space="preserve">Bij toets 4: hier moet je vertragen. Het nabestaandenpensioen is de vergeten toets. Vraag de zaal: wie heeft in een transitiegesprek het partnerpensioen als eerste onderwerp gehad? Bijna niemand. Leg uit dat de omslag van diensttijdafhankelijke opbouw naar een risicodekking als percentage van het salaris een reële herverdeling betekent — sommige nabestaanden gaan erop vooruit, andere achteruit, en dat is een communicatieonderwerp van de eerste orde (deel 8 en 17).</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Opdracht 5.1.</w:t>
      </w:r>
      <w:r>
        <w:rPr>
          <w:rFonts w:ascii="Calibri" w:cs="Calibri" w:eastAsia="Calibri" w:hAnsi="Calibri"/>
          <w:b w:val="false"/>
          <w:bCs w:val="false"/>
          <w:i w:val="false"/>
          <w:iCs w:val="false"/>
          <w:sz w:val="22"/>
          <w:szCs w:val="22"/>
        </w:rPr>
        <w:t xml:space="preserve"> Regeling B is de belangrijkste: daar zijn twee toetsen negatief, en het inzicht is dat het overgangsrecht maar één daarvan raakt. Zeg dit expliciet:</w:t>
      </w:r>
    </w:p>
    <w:tbl>
      <w:tblPr>
        <w:tblW w:type="pct" w:w="100%"/>
        <w:tblBorders>
          <w:top w:val="single" w:color="F2F2F2" w:sz="2"/>
          <w:left w:val="single" w:color="2563A8" w:sz="36"/>
          <w:bottom w:val="single" w:color="F2F2F2" w:sz="2"/>
          <w:right w:val="single" w:color="F2F2F2" w:sz="2"/>
          <w:insideH w:val="single" w:color="auto" w:sz="4"/>
          <w:insideV w:val="single" w:color="auto" w:sz="4"/>
        </w:tblBorders>
      </w:tblPr>
      <w:tblGrid>
        <w:gridCol w:w="100"/>
      </w:tblGrid>
      <w:tr>
        <w:tc>
          <w:tcPr>
            <w:shd w:fill="F2F2F2" w:color="auto" w:val="clear"/>
            <w:tcMar>
              <w:top w:type="dxa" w:w="160"/>
              <w:left w:type="dxa" w:w="220"/>
              <w:bottom w:type="dxa" w:w="160"/>
              <w:right w:type="dxa" w:w="220"/>
            </w:tcMar>
          </w:tcPr>
          <w:p>
            <w:pPr>
              <w:spacing w:after="100" w:line="280"/>
            </w:pPr>
            <w:r>
              <w:rPr>
                <w:rFonts w:ascii="Calibri" w:cs="Calibri" w:eastAsia="Calibri" w:hAnsi="Calibri"/>
                <w:i/>
                <w:iCs/>
                <w:sz w:val="22"/>
                <w:szCs w:val="22"/>
              </w:rPr>
              <w:t xml:space="preserve">Ook wie het overgangsrecht gebruikt, ontkomt niet aan een aanpassing van het nabestaandenpensioen.</w:t>
            </w:r>
          </w:p>
        </w:tc>
      </w:tr>
    </w:tbl>
    <w:p>
      <w:pPr>
        <w:spacing w:after="140" w:line="300"/>
      </w:pPr>
      <w:r>
        <w:rPr>
          <w:rFonts w:ascii="Calibri" w:cs="Calibri" w:eastAsia="Calibri" w:hAnsi="Calibri"/>
          <w:b w:val="false"/>
          <w:bCs w:val="false"/>
          <w:i w:val="false"/>
          <w:iCs w:val="false"/>
          <w:sz w:val="22"/>
          <w:szCs w:val="22"/>
        </w:rPr>
        <w:t xml:space="preserve">Dat is voor veel deelnemers nieuw en het is een van de meest bruikbare inzichten van dit dagdeel voor hun praktijk.</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Opbouw versus bestaande aanspraken.</w:t>
      </w:r>
      <w:r>
        <w:rPr>
          <w:rFonts w:ascii="Calibri" w:cs="Calibri" w:eastAsia="Calibri" w:hAnsi="Calibri"/>
          <w:b w:val="false"/>
          <w:bCs w:val="false"/>
          <w:i w:val="false"/>
          <w:iCs w:val="false"/>
          <w:sz w:val="22"/>
          <w:szCs w:val="22"/>
        </w:rPr>
        <w:t xml:space="preserve"> Teken dit als twee kolommen, niet als één verhaal. Links: “vanaf nu”. Rechts: “wat er al staat”. De vier toetsen horen alleen in de linkerkolom. De drie routes (invaren, achterblijven, overdragen) alleen in de rechter.</w:t>
      </w:r>
    </w:p>
    <w:p>
      <w:pPr>
        <w:spacing w:after="140" w:line="300"/>
      </w:pPr>
      <w:r>
        <w:rPr>
          <w:rFonts w:ascii="Calibri" w:cs="Calibri" w:eastAsia="Calibri" w:hAnsi="Calibri"/>
          <w:b w:val="false"/>
          <w:bCs w:val="false"/>
          <w:i w:val="false"/>
          <w:iCs w:val="false"/>
          <w:sz w:val="22"/>
          <w:szCs w:val="22"/>
        </w:rPr>
        <w:t xml:space="preserve">De meest voorkomende verwarring in de zaal: deelnemers denken dat “invaren” en “overstappen naar de nieuwe regeling” hetzelfde zijn. Ze zijn het niet. Een fonds kan overstappen zonder in te varen; dan bouwen deelnemers nieuw op in de premieregeling terwijl hun oude aanspraken in de oude vorm blijven staan.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Fondsen- en verzekerde route.</w:t>
      </w:r>
      <w:r>
        <w:rPr>
          <w:rFonts w:ascii="Calibri" w:cs="Calibri" w:eastAsia="Calibri" w:hAnsi="Calibri"/>
          <w:b w:val="false"/>
          <w:bCs w:val="false"/>
          <w:i w:val="false"/>
          <w:iCs w:val="false"/>
          <w:sz w:val="22"/>
          <w:szCs w:val="22"/>
        </w:rPr>
        <w:t xml:space="preserve"> Laat de tabel van opdracht 5.3 invullen vóór je uitlegt. In een gemengde groep levert dit vanzelf het gesprek op dat je wilt hebben. Let op het punt van het individuele bezwaarrecht: dat het bij invaren níet bestaat en bij collectieve waardeoverdracht in de verzekerde wereld wél, verrast vrijwel iedereen en wordt vaak omgekeerd verwacht.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Tijdlijn Van Doorn (5.4).</w:t>
      </w:r>
      <w:r>
        <w:rPr>
          <w:rFonts w:ascii="Calibri" w:cs="Calibri" w:eastAsia="Calibri" w:hAnsi="Calibri"/>
          <w:b w:val="false"/>
          <w:bCs w:val="false"/>
          <w:i w:val="false"/>
          <w:iCs w:val="false"/>
          <w:sz w:val="22"/>
          <w:szCs w:val="22"/>
        </w:rPr>
        <w:t xml:space="preserve"> Dwing de groep om achteruit te werken vanaf 1 januari 2027. Wie vooruit werkt vanaf vandaag, komt nooit bij de opzegtermijn uit. Schrijf 30 juni 2026 groot op de flap, met eronder: “de eerste harde deadline ligt anderhalf jaar vóór de datum die iedereen noemt.”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Opdracht 5.5.</w:t>
      </w:r>
      <w:r>
        <w:rPr>
          <w:rFonts w:ascii="Calibri" w:cs="Calibri" w:eastAsia="Calibri" w:hAnsi="Calibri"/>
          <w:b w:val="false"/>
          <w:bCs w:val="false"/>
          <w:i w:val="false"/>
          <w:iCs w:val="false"/>
          <w:sz w:val="22"/>
          <w:szCs w:val="22"/>
        </w:rPr>
        <w:t xml:space="preserve"> Laat dit individueel schrijven, geen groepswerk — het is een formuleeroefening. Lees twee versies voor en bespreek het verschil in toon. Antwoorden die met de wettelijke deadline dreigen, roepen bij een directeur precies de reactie op die Ferdi al gaf. Het compensatievenster is het argument dat wél werkt, omdat het over geld gaat en over iets dat onherroepelijk verloopt.</w:t>
      </w:r>
    </w:p>
    <w:p>
      <w:pPr>
        <w:spacing w:after="100"/>
      </w:pPr>
    </w:p>
    <w:p>
      <w:pPr>
        <w:pStyle w:val="Heading2"/>
        <w:spacing w:after="120" w:before="200"/>
      </w:pPr>
      <w:r>
        <w:rPr>
          <w:rFonts w:ascii="Georgia" w:cs="Georgia" w:eastAsia="Georgia" w:hAnsi="Georgia"/>
          <w:b/>
          <w:bCs/>
          <w:color w:val="2563A8"/>
          <w:sz w:val="28"/>
          <w:szCs w:val="28"/>
        </w:rPr>
        <w:t xml:space="preserve">Omgaan met de vraag die zeker komt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“Mag die staffel nou blijven of niet?”</w:t>
      </w:r>
      <w:r>
        <w:rPr>
          <w:rFonts w:ascii="Calibri" w:cs="Calibri" w:eastAsia="Calibri" w:hAnsi="Calibri"/>
          <w:b w:val="false"/>
          <w:bCs w:val="false"/>
          <w:i w:val="false"/>
          <w:iCs w:val="false"/>
          <w:sz w:val="22"/>
          <w:szCs w:val="22"/>
        </w:rPr>
        <w:t xml:space="preserve"/>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Deze vraag komt gegarandeerd in het eerste half uur. Antwoord: “Onder voorwaarden, voor een afgebakende groep, en tijdelijk — en dat is precies het onderwerp van het volgende dagdeel.” Schrijf de vraag op de flap en ga door. Als je hier begint uit te leggen, verlies je de vier toetsen en dat is de kern van vandaag.</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“Wat als een werkgever gewoon niets doet?”</w:t>
      </w:r>
      <w:r>
        <w:rPr>
          <w:rFonts w:ascii="Calibri" w:cs="Calibri" w:eastAsia="Calibri" w:hAnsi="Calibri"/>
          <w:b w:val="false"/>
          <w:bCs w:val="false"/>
          <w:i w:val="false"/>
          <w:iCs w:val="false"/>
          <w:sz w:val="22"/>
          <w:szCs w:val="22"/>
        </w:rPr>
        <w:t xml:space="preserve"/>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Dan is de regeling na 1 januari 2028 niet in overeenstemming met de wet. Praktisch: de uitvoerder kan de regeling zo niet blijven uitvoeren, de fiscale faciliteit komt in gevaar, en de werkgever heeft arbeidsrechtelijk een probleem met een toezegging die hij niet conform kan uitvoeren. Ga hier niet speculeren over handhaving; blijf bij de gevolgen die zeker zijn.</w:t>
      </w:r>
    </w:p>
    <w:p>
      <w:pPr>
        <w:spacing w:after="100"/>
      </w:pPr>
    </w:p>
    <w:p>
      <w:pPr>
        <w:pStyle w:val="Heading2"/>
        <w:spacing w:after="120" w:before="200"/>
      </w:pPr>
      <w:r>
        <w:rPr>
          <w:rFonts w:ascii="Georgia" w:cs="Georgia" w:eastAsia="Georgia" w:hAnsi="Georgia"/>
          <w:b/>
          <w:bCs/>
          <w:color w:val="2563A8"/>
          <w:sz w:val="28"/>
          <w:szCs w:val="28"/>
        </w:rPr>
        <w:t xml:space="preserve">Voorbereiding en materiaal</w:t>
      </w:r>
    </w:p>
    <w:p>
      <w:pPr>
        <w:pStyle w:val="ListParagraph"/>
        <w:numPr>
          <w:ilvl w:val="0"/>
          <w:numId w:val="1"/>
        </w:numPr>
        <w:spacing w:after="80"/>
      </w:pPr>
      <w:r>
        <w:rPr>
          <w:rFonts w:ascii="Calibri" w:cs="Calibri" w:eastAsia="Calibri" w:hAnsi="Calibri"/>
          <w:sz w:val="22"/>
          <w:szCs w:val="22"/>
        </w:rPr>
        <w:t xml:space="preserve">De scheidslijnkaart als flap of poster, blijft hangen tot en met deel 10</w:t>
      </w:r>
    </w:p>
    <w:p>
      <w:pPr>
        <w:pStyle w:val="ListParagraph"/>
        <w:numPr>
          <w:ilvl w:val="0"/>
          <w:numId w:val="1"/>
        </w:numPr>
        <w:spacing w:after="80"/>
      </w:pPr>
      <w:r>
        <w:rPr>
          <w:rFonts w:ascii="Calibri" w:cs="Calibri" w:eastAsia="Calibri" w:hAnsi="Calibri"/>
          <w:sz w:val="22"/>
          <w:szCs w:val="22"/>
        </w:rPr>
        <w:t xml:space="preserve">Twee kolommen “vanaf nu” en “wat er al staat”, zichtbaar tijdens het hele dagdeel</w:t>
      </w:r>
    </w:p>
    <w:p>
      <w:pPr>
        <w:pStyle w:val="ListParagraph"/>
        <w:numPr>
          <w:ilvl w:val="0"/>
          <w:numId w:val="1"/>
        </w:numPr>
        <w:spacing w:after="80"/>
      </w:pPr>
      <w:r>
        <w:rPr>
          <w:rFonts w:ascii="Calibri" w:cs="Calibri" w:eastAsia="Calibri" w:hAnsi="Calibri"/>
          <w:sz w:val="22"/>
          <w:szCs w:val="22"/>
        </w:rPr>
        <w:t xml:space="preserve">Actuele fiscale premiegrens en aftoppingsgrens opgezocht — niet om uit het hoofd te noemen, maar om te kunnen tonen dat je ze opzoekt</w:t>
      </w:r>
    </w:p>
    <w:p>
      <w:pPr>
        <w:pStyle w:val="ListParagraph"/>
        <w:numPr>
          <w:ilvl w:val="0"/>
          <w:numId w:val="1"/>
        </w:numPr>
        <w:spacing w:after="80"/>
      </w:pPr>
      <w:r>
        <w:rPr>
          <w:rFonts w:ascii="Calibri" w:cs="Calibri" w:eastAsia="Calibri" w:hAnsi="Calibri"/>
          <w:sz w:val="22"/>
          <w:szCs w:val="22"/>
        </w:rPr>
        <w:t xml:space="preserve">Actualiteitencheck: wijzigingen in de transitiedata, in de fiscale grenzen of in het kader voor het nabestaandenpensioen sinds de vorige cursusronde</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Huiswerk:</w:t>
      </w:r>
      <w:r>
        <w:rPr>
          <w:rFonts w:ascii="Calibri" w:cs="Calibri" w:eastAsia="Calibri" w:hAnsi="Calibri"/>
          <w:b w:val="false"/>
          <w:bCs w:val="false"/>
          <w:i w:val="false"/>
          <w:iCs w:val="false"/>
          <w:sz w:val="22"/>
          <w:szCs w:val="22"/>
        </w:rPr>
        <w:t xml:space="preserve"> opdracht 5.6 (eigen dossier) en 5.8 (drie vragen over het overgangsrecht). Verzamel die vragen aan het begin van deel 6 en hang ze op; werk ze in dat dagdeel expliciet één voor één af. Dat maakt zichtbaar dat de opbouw van niveau 1 klopt.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Nederlandse pensioenverzekering · Niveau 1 — Fundament · Deel 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2026-08-17T11:22:43.748Z</dcterms:created>
  <dcterms:modified xsi:type="dcterms:W3CDTF">2026-08-17T11:22:43.748Z</dcterms:modified>
</cp:coreProperties>
</file>

<file path=docProps/custom.xml><?xml version="1.0" encoding="utf-8"?>
<Properties xmlns="http://schemas.openxmlformats.org/officeDocument/2006/custom-properties" xmlns:vt="http://schemas.openxmlformats.org/officeDocument/2006/docPropsVTypes"/>
</file>