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4213D"/>
          <w:sz w:val="44"/>
          <w:szCs w:val="44"/>
        </w:rPr>
        <w:t xml:space="preserve">Reader — Deel 5 — Wtp of niet-Wtp: de scheidslijn</w:t>
      </w:r>
    </w:p>
    <w:p>
      <w:pPr>
        <w:spacing w:after="300"/>
      </w:pPr>
      <w:r>
        <w:rPr>
          <w:rFonts w:ascii="Calibri" w:cs="Calibri" w:eastAsia="Calibri" w:hAnsi="Calibri"/>
          <w:i/>
          <w:iCs/>
          <w:color w:val="2563A8"/>
          <w:sz w:val="22"/>
          <w:szCs w:val="22"/>
        </w:rPr>
        <w:t xml:space="preserve">Niveau 1 — Fundament · Nederlandse pensioenverzekering</w:t>
      </w:r>
    </w:p>
    <w:p>
      <w:pPr>
        <w:pStyle w:val="Heading1"/>
        <w:pBdr>
          <w:bottom w:val="single" w:color="14213D" w:sz="12" w:space="4"/>
        </w:pBdr>
        <w:spacing w:after="160" w:before="240"/>
      </w:pPr>
      <w:r>
        <w:rPr>
          <w:rFonts w:ascii="Georgia" w:cs="Georgia" w:eastAsia="Georgia" w:hAnsi="Georgia"/>
          <w:b/>
          <w:bCs/>
          <w:color w:val="14213D"/>
          <w:sz w:val="36"/>
          <w:szCs w:val="36"/>
        </w:rPr>
        <w:t xml:space="preserve">Deel 5 — Wtp of niet-Wtp: de scheidslijn</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Niveau 1 · Fundament · Deelnemersreader</w:t>
      </w:r>
      <w:r>
        <w:rPr>
          <w:rFonts w:ascii="Calibri" w:cs="Calibri" w:eastAsia="Calibri" w:hAnsi="Calibri"/>
          <w:b w:val="false"/>
          <w:bCs w:val="false"/>
          <w:i w:val="false"/>
          <w:iCs w:val="false"/>
          <w:sz w:val="22"/>
          <w:szCs w:val="22"/>
        </w:rPr>
        <w:t xml:space="preserve"/>
      </w:r>
    </w:p>
    <w:p>
      <w:pPr>
        <w:spacing w:after="100"/>
      </w:pPr>
    </w:p>
    <w:p>
      <w:pPr>
        <w:pStyle w:val="Heading2"/>
        <w:spacing w:after="120" w:before="200"/>
      </w:pPr>
      <w:r>
        <w:rPr>
          <w:rFonts w:ascii="Georgia" w:cs="Georgia" w:eastAsia="Georgia" w:hAnsi="Georgia"/>
          <w:b/>
          <w:bCs/>
          <w:color w:val="2563A8"/>
          <w:sz w:val="28"/>
          <w:szCs w:val="28"/>
        </w:rPr>
        <w:t xml:space="preserve">5.1 Leerdoelen</w:t>
      </w:r>
    </w:p>
    <w:p>
      <w:pPr>
        <w:spacing w:after="140" w:line="300"/>
      </w:pPr>
      <w:r>
        <w:rPr>
          <w:rFonts w:ascii="Calibri" w:cs="Calibri" w:eastAsia="Calibri" w:hAnsi="Calibri"/>
          <w:b w:val="false"/>
          <w:bCs w:val="false"/>
          <w:i w:val="false"/>
          <w:iCs w:val="false"/>
          <w:sz w:val="22"/>
          <w:szCs w:val="22"/>
        </w:rPr>
        <w:t xml:space="preserve">Na dit deel kun je:</w:t>
      </w:r>
    </w:p>
    <w:p>
      <w:pPr>
        <w:pStyle w:val="ListParagraph"/>
        <w:numPr>
          <w:ilvl w:val="0"/>
          <w:numId w:val="1"/>
        </w:numPr>
        <w:spacing w:after="80"/>
      </w:pPr>
      <w:r>
        <w:rPr>
          <w:rFonts w:ascii="Calibri" w:cs="Calibri" w:eastAsia="Calibri" w:hAnsi="Calibri"/>
          <w:sz w:val="22"/>
          <w:szCs w:val="22"/>
        </w:rPr>
        <w:t xml:space="preserve">1. de vier toetsen uitvoeren waarmee je vaststelt of een regeling Wtp-conform is;</w:t>
      </w:r>
    </w:p>
    <w:p>
      <w:pPr>
        <w:pStyle w:val="ListParagraph"/>
        <w:numPr>
          <w:ilvl w:val="0"/>
          <w:numId w:val="1"/>
        </w:numPr>
        <w:spacing w:after="80"/>
      </w:pPr>
      <w:r>
        <w:rPr>
          <w:rFonts w:ascii="Calibri" w:cs="Calibri" w:eastAsia="Calibri" w:hAnsi="Calibri"/>
          <w:sz w:val="22"/>
          <w:szCs w:val="22"/>
        </w:rPr>
        <w:t xml:space="preserve">2. het verschil uitleggen tussen eisen aan nieuwe opbouw en het lot van bestaande aanspraken;</w:t>
      </w:r>
    </w:p>
    <w:p>
      <w:pPr>
        <w:pStyle w:val="ListParagraph"/>
        <w:numPr>
          <w:ilvl w:val="0"/>
          <w:numId w:val="1"/>
        </w:numPr>
        <w:spacing w:after="80"/>
      </w:pPr>
      <w:r>
        <w:rPr>
          <w:rFonts w:ascii="Calibri" w:cs="Calibri" w:eastAsia="Calibri" w:hAnsi="Calibri"/>
          <w:sz w:val="22"/>
          <w:szCs w:val="22"/>
        </w:rPr>
        <w:t xml:space="preserve">3. beschrijven wat er in de fondsenwereld gebeurt (invaren als uitgangspunt) en wat in de verzekerde wereld (achterblijven als uitgangspunt);</w:t>
      </w:r>
    </w:p>
    <w:p>
      <w:pPr>
        <w:pStyle w:val="ListParagraph"/>
        <w:numPr>
          <w:ilvl w:val="0"/>
          <w:numId w:val="1"/>
        </w:numPr>
        <w:spacing w:after="80"/>
      </w:pPr>
      <w:r>
        <w:rPr>
          <w:rFonts w:ascii="Calibri" w:cs="Calibri" w:eastAsia="Calibri" w:hAnsi="Calibri"/>
          <w:sz w:val="22"/>
          <w:szCs w:val="22"/>
        </w:rPr>
        <w:t xml:space="preserve">4. de drie soorten niet-conformiteit onderscheiden en per soort aangeven wat er moet gebeuren;</w:t>
      </w:r>
    </w:p>
    <w:p>
      <w:pPr>
        <w:pStyle w:val="ListParagraph"/>
        <w:numPr>
          <w:ilvl w:val="0"/>
          <w:numId w:val="1"/>
        </w:numPr>
        <w:spacing w:after="80"/>
      </w:pPr>
      <w:r>
        <w:rPr>
          <w:rFonts w:ascii="Calibri" w:cs="Calibri" w:eastAsia="Calibri" w:hAnsi="Calibri"/>
          <w:sz w:val="22"/>
          <w:szCs w:val="22"/>
        </w:rPr>
        <w:t xml:space="preserve">5. de transitiedata plaatsen: eigen transitiemoment, uiterste datum 1 januari 2028, en de fiscale compensatieruimte tot uiterlijk 1 januari 2037;</w:t>
      </w:r>
    </w:p>
    <w:p>
      <w:pPr>
        <w:pStyle w:val="ListParagraph"/>
        <w:numPr>
          <w:ilvl w:val="0"/>
          <w:numId w:val="1"/>
        </w:numPr>
        <w:spacing w:after="80"/>
      </w:pPr>
      <w:r>
        <w:rPr>
          <w:rFonts w:ascii="Calibri" w:cs="Calibri" w:eastAsia="Calibri" w:hAnsi="Calibri"/>
          <w:sz w:val="22"/>
          <w:szCs w:val="22"/>
        </w:rPr>
        <w:t xml:space="preserve">6. de scheidslijnkaart toepassen op een onbekend dossier.</w:t>
      </w:r>
    </w:p>
    <w:p>
      <w:pPr>
        <w:spacing w:after="100"/>
      </w:pPr>
    </w:p>
    <w:p>
      <w:pPr>
        <w:pStyle w:val="Heading2"/>
        <w:spacing w:after="120" w:before="200"/>
      </w:pPr>
      <w:r>
        <w:rPr>
          <w:rFonts w:ascii="Georgia" w:cs="Georgia" w:eastAsia="Georgia" w:hAnsi="Georgia"/>
          <w:b/>
          <w:bCs/>
          <w:color w:val="2563A8"/>
          <w:sz w:val="28"/>
          <w:szCs w:val="28"/>
        </w:rPr>
        <w:t xml:space="preserve">5.2 De kernvraag</w:t>
      </w:r>
    </w:p>
    <w:p>
      <w:pPr>
        <w:spacing w:after="140" w:line="300"/>
      </w:pPr>
      <w:r>
        <w:rPr>
          <w:rFonts w:ascii="Calibri" w:cs="Calibri" w:eastAsia="Calibri" w:hAnsi="Calibri"/>
          <w:b w:val="false"/>
          <w:bCs w:val="false"/>
          <w:i w:val="false"/>
          <w:iCs w:val="false"/>
          <w:sz w:val="22"/>
          <w:szCs w:val="22"/>
        </w:rPr>
        <w:t xml:space="preserve">Dit is het deel waar de hele cursus om draait. Alles uit de delen 1 tot en met 4 komt hier samen: het type overeenkomst (deel 3), de uitvoerder (deel 1 en 4), de driehoek (deel 2) en de vraag of de werkgever überhaupt keuzevrijheid heeft (deel 4).</w:t>
      </w:r>
    </w:p>
    <w:p>
      <w:pPr>
        <w:spacing w:after="140" w:line="300"/>
      </w:pPr>
      <w:r>
        <w:rPr>
          <w:rFonts w:ascii="Calibri" w:cs="Calibri" w:eastAsia="Calibri" w:hAnsi="Calibri"/>
          <w:b w:val="false"/>
          <w:bCs w:val="false"/>
          <w:i w:val="false"/>
          <w:iCs w:val="false"/>
          <w:sz w:val="22"/>
          <w:szCs w:val="22"/>
        </w:rPr>
        <w:t xml:space="preserve">De vraag luidt: </w:t>
      </w:r>
      <w:r>
        <w:rPr>
          <w:rFonts w:ascii="Calibri" w:cs="Calibri" w:eastAsia="Calibri" w:hAnsi="Calibri"/>
          <w:b/>
          <w:bCs/>
          <w:i w:val="false"/>
          <w:iCs w:val="false"/>
          <w:sz w:val="22"/>
          <w:szCs w:val="22"/>
        </w:rPr>
        <w:t xml:space="preserve">voldoet deze regeling aan het kader van de Wet toekomst pensioenen, en zo nee, op welke grond mag zij dan nog bestaan en tot wanneer?</w:t>
      </w:r>
      <w:r>
        <w:rPr>
          <w:rFonts w:ascii="Calibri" w:cs="Calibri" w:eastAsia="Calibri" w:hAnsi="Calibri"/>
          <w:b w:val="false"/>
          <w:bCs w:val="false"/>
          <w:i w:val="false"/>
          <w:iCs w:val="false"/>
          <w:sz w:val="22"/>
          <w:szCs w:val="22"/>
        </w:rPr>
        <w:t xml:space="preserve"/>
      </w:r>
    </w:p>
    <w:p>
      <w:pPr>
        <w:spacing w:after="140" w:line="300"/>
      </w:pPr>
      <w:r>
        <w:rPr>
          <w:rFonts w:ascii="Calibri" w:cs="Calibri" w:eastAsia="Calibri" w:hAnsi="Calibri"/>
          <w:b w:val="false"/>
          <w:bCs w:val="false"/>
          <w:i w:val="false"/>
          <w:iCs w:val="false"/>
          <w:sz w:val="22"/>
          <w:szCs w:val="22"/>
        </w:rPr>
        <w:t xml:space="preserve">Herhaal voor jezelf de zin uit deel 1:</w:t>
      </w:r>
    </w:p>
    <w:tbl>
      <w:tblPr>
        <w:tblW w:type="pct" w:w="100%"/>
        <w:tblBorders>
          <w:top w:val="single" w:color="F2F2F2" w:sz="2"/>
          <w:left w:val="single" w:color="2563A8" w:sz="36"/>
          <w:bottom w:val="single" w:color="F2F2F2" w:sz="2"/>
          <w:right w:val="single" w:color="F2F2F2" w:sz="2"/>
          <w:insideH w:val="single" w:color="auto" w:sz="4"/>
          <w:insideV w:val="single" w:color="auto" w:sz="4"/>
        </w:tblBorders>
      </w:tblPr>
      <w:tblGrid>
        <w:gridCol w:w="100"/>
      </w:tblGrid>
      <w:tr>
        <w:tc>
          <w:tcPr>
            <w:shd w:fill="F2F2F2" w:color="auto" w:val="clear"/>
            <w:tcMar>
              <w:top w:type="dxa" w:w="160"/>
              <w:left w:type="dxa" w:w="220"/>
              <w:bottom w:type="dxa" w:w="160"/>
              <w:right w:type="dxa" w:w="220"/>
            </w:tcMar>
          </w:tcPr>
          <w:p>
            <w:pPr>
              <w:spacing w:after="100" w:line="280"/>
            </w:pPr>
            <w:r>
              <w:rPr>
                <w:rFonts w:ascii="Calibri" w:cs="Calibri" w:eastAsia="Calibri" w:hAnsi="Calibri"/>
                <w:i/>
                <w:iCs/>
                <w:sz w:val="22"/>
                <w:szCs w:val="22"/>
              </w:rPr>
              <w:t xml:space="preserve">Niet-Wtp is geen fout; niet-Wtp zonder geldige overgangsgrond ná de uiterste datum wel.</w:t>
            </w:r>
          </w:p>
        </w:tc>
      </w:tr>
    </w:tbl>
    <w:p>
      <w:pPr>
        <w:spacing w:after="100"/>
      </w:pPr>
    </w:p>
    <w:p>
      <w:pPr>
        <w:pStyle w:val="Heading2"/>
        <w:spacing w:after="120" w:before="200"/>
      </w:pPr>
      <w:r>
        <w:rPr>
          <w:rFonts w:ascii="Georgia" w:cs="Georgia" w:eastAsia="Georgia" w:hAnsi="Georgia"/>
          <w:b/>
          <w:bCs/>
          <w:color w:val="2563A8"/>
          <w:sz w:val="28"/>
          <w:szCs w:val="28"/>
        </w:rPr>
        <w:t xml:space="preserve">5.3 De vier toetsen</w:t>
      </w:r>
    </w:p>
    <w:p>
      <w:pPr>
        <w:spacing w:after="80" w:before="160"/>
        <w:jc w:val="center"/>
      </w:pPr>
      <w:r>
        <w:drawing>
          <wp:inline distT="0" distB="0" distL="0" distR="0">
            <wp:extent cx="4381500" cy="1581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158115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Figuur 5-1 — De scheidslijnkaart — vier toetsen achter elkaar, met per uitkomst de vervolgvraag</w:t>
      </w:r>
    </w:p>
    <w:p>
      <w:pPr>
        <w:pStyle w:val="Heading3"/>
        <w:spacing w:after="100" w:before="160"/>
      </w:pPr>
      <w:r>
        <w:rPr>
          <w:rFonts w:ascii="Georgia" w:cs="Georgia" w:eastAsia="Georgia" w:hAnsi="Georgia"/>
          <w:b/>
          <w:bCs/>
          <w:color w:val="14213D"/>
          <w:sz w:val="24"/>
          <w:szCs w:val="24"/>
        </w:rPr>
        <w:t xml:space="preserve">Toets 1 — Is het een premieovereenkomst?</w:t>
      </w:r>
    </w:p>
    <w:p>
      <w:pPr>
        <w:spacing w:after="140" w:line="300"/>
      </w:pPr>
      <w:r>
        <w:rPr>
          <w:rFonts w:ascii="Calibri" w:cs="Calibri" w:eastAsia="Calibri" w:hAnsi="Calibri"/>
          <w:b w:val="false"/>
          <w:bCs w:val="false"/>
          <w:i w:val="false"/>
          <w:iCs w:val="false"/>
          <w:sz w:val="22"/>
          <w:szCs w:val="22"/>
        </w:rPr>
        <w:t xml:space="preserve">Alleen de premieovereenkomst blijft over, en bij verzekeraars daarnaast de premie-uitkeringsovereenkomst. Uitkeringsovereenkomsten en kapitaalovereenkomsten kunnen na de transitie geen nieuwe opbouw meer dragen.</w:t>
      </w:r>
    </w:p>
    <w:p>
      <w:pPr>
        <w:spacing w:after="140" w:line="300"/>
      </w:pPr>
      <w:r>
        <w:rPr>
          <w:rFonts w:ascii="Calibri" w:cs="Calibri" w:eastAsia="Calibri" w:hAnsi="Calibri"/>
          <w:b w:val="false"/>
          <w:bCs w:val="false"/>
          <w:i w:val="false"/>
          <w:iCs w:val="false"/>
          <w:sz w:val="22"/>
          <w:szCs w:val="22"/>
        </w:rPr>
        <w:t xml:space="preserve">Uitkomst “nee” → de opbouw in deze vorm moet uiterlijk per 1 januari 2028 eindigen. Er is voor de uitkeringsovereenkomst geen eerbiedigende werking voor nieuwe opbouw. Dat is een belangrijk verschil met de progressieve premie, waar die er onder voorwaarden wél is.</w:t>
      </w:r>
    </w:p>
    <w:p>
      <w:pPr>
        <w:pStyle w:val="Heading3"/>
        <w:spacing w:after="100" w:before="160"/>
      </w:pPr>
      <w:r>
        <w:rPr>
          <w:rFonts w:ascii="Georgia" w:cs="Georgia" w:eastAsia="Georgia" w:hAnsi="Georgia"/>
          <w:b/>
          <w:bCs/>
          <w:color w:val="14213D"/>
          <w:sz w:val="24"/>
          <w:szCs w:val="24"/>
        </w:rPr>
        <w:t xml:space="preserve">Toets 2 — Is de premie voor alle deelnemers gelijk?</w:t>
      </w:r>
    </w:p>
    <w:p>
      <w:pPr>
        <w:spacing w:after="140" w:line="300"/>
      </w:pPr>
      <w:r>
        <w:rPr>
          <w:rFonts w:ascii="Calibri" w:cs="Calibri" w:eastAsia="Calibri" w:hAnsi="Calibri"/>
          <w:b w:val="false"/>
          <w:bCs w:val="false"/>
          <w:i w:val="false"/>
          <w:iCs w:val="false"/>
          <w:sz w:val="22"/>
          <w:szCs w:val="22"/>
        </w:rPr>
        <w:t xml:space="preserve">De premie moet een voor alle deelnemers gelijk percentage van de pensioengrondslag zijn: een vlakke premie.</w:t>
      </w:r>
    </w:p>
    <w:p>
      <w:pPr>
        <w:spacing w:after="140" w:line="300"/>
      </w:pPr>
      <w:r>
        <w:rPr>
          <w:rFonts w:ascii="Calibri" w:cs="Calibri" w:eastAsia="Calibri" w:hAnsi="Calibri"/>
          <w:b w:val="false"/>
          <w:bCs w:val="false"/>
          <w:i w:val="false"/>
          <w:iCs w:val="false"/>
          <w:sz w:val="22"/>
          <w:szCs w:val="22"/>
        </w:rPr>
        <w:t xml:space="preserve">Uitkomst “nee” (leeftijdsafhankelijke staffel) → onderzoek of het overgangsrecht van toepassing is. Dit is de route die in deel 6 volledig wordt uitgewerkt. Let op: die route is niet voor iedereen open, kent voorwaarden en is eindig.</w:t>
      </w:r>
    </w:p>
    <w:p>
      <w:pPr>
        <w:pStyle w:val="Heading3"/>
        <w:spacing w:after="100" w:before="160"/>
      </w:pPr>
      <w:r>
        <w:rPr>
          <w:rFonts w:ascii="Georgia" w:cs="Georgia" w:eastAsia="Georgia" w:hAnsi="Georgia"/>
          <w:b/>
          <w:bCs/>
          <w:color w:val="14213D"/>
          <w:sz w:val="24"/>
          <w:szCs w:val="24"/>
        </w:rPr>
        <w:t xml:space="preserve">Toets 3 — Blijft de premie binnen de fiscale grens?</w:t>
      </w:r>
    </w:p>
    <w:p>
      <w:pPr>
        <w:spacing w:after="140" w:line="300"/>
      </w:pPr>
      <w:r>
        <w:rPr>
          <w:rFonts w:ascii="Calibri" w:cs="Calibri" w:eastAsia="Calibri" w:hAnsi="Calibri"/>
          <w:b w:val="false"/>
          <w:bCs w:val="false"/>
          <w:i w:val="false"/>
          <w:iCs w:val="false"/>
          <w:sz w:val="22"/>
          <w:szCs w:val="22"/>
        </w:rPr>
        <w:t xml:space="preserve">De fiscale premiegrens is uitgedrukt als een maximumpercentage van de pensioengrondslag, met daarnaast ruimte voor risicopremies en kosten, en met een tijdelijke extra ruimte voor compensatie. De grens wordt periodiek herijkt; gebruik in een advies altijd de actuele waarde </w:t>
      </w:r>
      <w:r>
        <w:rPr>
          <w:rFonts w:ascii="Calibri" w:cs="Calibri" w:eastAsia="Calibri" w:hAnsi="Calibri"/>
          <w:b w:val="false"/>
          <w:bCs w:val="false"/>
          <w:i w:val="false"/>
          <w:iCs w:val="false"/>
          <w:sz w:val="22"/>
          <w:szCs w:val="22"/>
        </w:rPr>
        <w:t xml:space="preserve">[PREMIEGRENS-JAAR]</w:t>
      </w:r>
      <w:r>
        <w:rPr>
          <w:rFonts w:ascii="Calibri" w:cs="Calibri" w:eastAsia="Calibri" w:hAnsi="Calibri"/>
          <w:b w:val="false"/>
          <w:bCs w:val="false"/>
          <w:i w:val="false"/>
          <w:iCs w:val="false"/>
          <w:sz w:val="22"/>
          <w:szCs w:val="22"/>
        </w:rPr>
        <w:t xml:space="preserve"> en nooit een percentage uit het hoofd.</w:t>
      </w:r>
    </w:p>
    <w:p>
      <w:pPr>
        <w:spacing w:after="140" w:line="300"/>
      </w:pPr>
      <w:r>
        <w:rPr>
          <w:rFonts w:ascii="Calibri" w:cs="Calibri" w:eastAsia="Calibri" w:hAnsi="Calibri"/>
          <w:b w:val="false"/>
          <w:bCs w:val="false"/>
          <w:i w:val="false"/>
          <w:iCs w:val="false"/>
          <w:sz w:val="22"/>
          <w:szCs w:val="22"/>
        </w:rPr>
        <w:t xml:space="preserve">Bij deze toets horen ook de bijbehorende grootheden: de maximale franchise-systematiek en de aftoppingsgrens </w:t>
      </w:r>
      <w:r>
        <w:rPr>
          <w:rFonts w:ascii="Calibri" w:cs="Calibri" w:eastAsia="Calibri" w:hAnsi="Calibri"/>
          <w:b w:val="false"/>
          <w:bCs w:val="false"/>
          <w:i w:val="false"/>
          <w:iCs w:val="false"/>
          <w:sz w:val="22"/>
          <w:szCs w:val="22"/>
        </w:rPr>
        <w:t xml:space="preserve">[AFTOPPING-JAAR]</w:t>
      </w:r>
      <w:r>
        <w:rPr>
          <w:rFonts w:ascii="Calibri" w:cs="Calibri" w:eastAsia="Calibri" w:hAnsi="Calibri"/>
          <w:b w:val="false"/>
          <w:bCs w:val="false"/>
          <w:i w:val="false"/>
          <w:iCs w:val="false"/>
          <w:sz w:val="22"/>
          <w:szCs w:val="22"/>
        </w:rPr>
        <w:t xml:space="preserve"> waarboven geen fiscaal gefaciliteerde opbouw plaatsvindt. Deel 11 rekent dit uit.</w:t>
      </w:r>
    </w:p>
    <w:p>
      <w:pPr>
        <w:spacing w:after="140" w:line="300"/>
      </w:pPr>
      <w:r>
        <w:rPr>
          <w:rFonts w:ascii="Calibri" w:cs="Calibri" w:eastAsia="Calibri" w:hAnsi="Calibri"/>
          <w:b w:val="false"/>
          <w:bCs w:val="false"/>
          <w:i w:val="false"/>
          <w:iCs w:val="false"/>
          <w:sz w:val="22"/>
          <w:szCs w:val="22"/>
        </w:rPr>
        <w:t xml:space="preserve">Uitkomst “nee” → de regeling moet worden gerepareerd. Er is hier geen overgangsrecht dat een te hoge premie legitimeert; dit is een fiscale grens, geen stelselkeuze.</w:t>
      </w:r>
    </w:p>
    <w:p>
      <w:pPr>
        <w:pStyle w:val="Heading3"/>
        <w:spacing w:after="100" w:before="160"/>
      </w:pPr>
      <w:r>
        <w:rPr>
          <w:rFonts w:ascii="Georgia" w:cs="Georgia" w:eastAsia="Georgia" w:hAnsi="Georgia"/>
          <w:b/>
          <w:bCs/>
          <w:color w:val="14213D"/>
          <w:sz w:val="24"/>
          <w:szCs w:val="24"/>
        </w:rPr>
        <w:t xml:space="preserve">Toets 4 — Voldoet het nabestaandenpensioen aan het nieuwe kader?</w:t>
      </w:r>
    </w:p>
    <w:p>
      <w:pPr>
        <w:spacing w:after="140" w:line="300"/>
      </w:pPr>
      <w:r>
        <w:rPr>
          <w:rFonts w:ascii="Calibri" w:cs="Calibri" w:eastAsia="Calibri" w:hAnsi="Calibri"/>
          <w:b w:val="false"/>
          <w:bCs w:val="false"/>
          <w:i w:val="false"/>
          <w:iCs w:val="false"/>
          <w:sz w:val="22"/>
          <w:szCs w:val="22"/>
        </w:rPr>
        <w:t xml:space="preserve">Onder de Wtp is het partnerpensioen bij overlijden vóór de pensioendatum een </w:t>
      </w:r>
      <w:r>
        <w:rPr>
          <w:rFonts w:ascii="Calibri" w:cs="Calibri" w:eastAsia="Calibri" w:hAnsi="Calibri"/>
          <w:b/>
          <w:bCs/>
          <w:i w:val="false"/>
          <w:iCs w:val="false"/>
          <w:sz w:val="22"/>
          <w:szCs w:val="22"/>
        </w:rPr>
        <w:t xml:space="preserve">risicodekking</w:t>
      </w:r>
      <w:r>
        <w:rPr>
          <w:rFonts w:ascii="Calibri" w:cs="Calibri" w:eastAsia="Calibri" w:hAnsi="Calibri"/>
          <w:b w:val="false"/>
          <w:bCs w:val="false"/>
          <w:i w:val="false"/>
          <w:iCs w:val="false"/>
          <w:sz w:val="22"/>
          <w:szCs w:val="22"/>
        </w:rPr>
        <w:t xml:space="preserve">, uitgedrukt als een percentage van het pensioengevend salaris en </w:t>
      </w:r>
      <w:r>
        <w:rPr>
          <w:rFonts w:ascii="Calibri" w:cs="Calibri" w:eastAsia="Calibri" w:hAnsi="Calibri"/>
          <w:b/>
          <w:bCs/>
          <w:i w:val="false"/>
          <w:iCs w:val="false"/>
          <w:sz w:val="22"/>
          <w:szCs w:val="22"/>
        </w:rPr>
        <w:t xml:space="preserve">onafhankelijk van de diensttijd</w:t>
      </w:r>
      <w:r>
        <w:rPr>
          <w:rFonts w:ascii="Calibri" w:cs="Calibri" w:eastAsia="Calibri" w:hAnsi="Calibri"/>
          <w:b w:val="false"/>
          <w:bCs w:val="false"/>
          <w:i w:val="false"/>
          <w:iCs w:val="false"/>
          <w:sz w:val="22"/>
          <w:szCs w:val="22"/>
        </w:rPr>
        <w:t xml:space="preserve">, met een wettelijk maximum. Het wezenpensioen kent eveneens een maximumpercentage en een uniforme eindleeftijd. Daarnaast gelden regels voor de dekking na uitdiensttreding (uitloopdekking en de mogelijkheid van vrijwillige voortzetting).</w:t>
      </w:r>
    </w:p>
    <w:p>
      <w:pPr>
        <w:spacing w:after="140" w:line="300"/>
      </w:pPr>
      <w:r>
        <w:rPr>
          <w:rFonts w:ascii="Calibri" w:cs="Calibri" w:eastAsia="Calibri" w:hAnsi="Calibri"/>
          <w:b w:val="false"/>
          <w:bCs w:val="false"/>
          <w:i w:val="false"/>
          <w:iCs w:val="false"/>
          <w:sz w:val="22"/>
          <w:szCs w:val="22"/>
        </w:rPr>
        <w:t xml:space="preserve">Uitkomst “nee” → aanpassing nodig. Dit is de toets die in de praktijk het vaakst wordt vergeten, omdat aandacht uitgaat naar de premie. Een regeling met een keurige vlakke premie en een ouderwets diensttijdafhankelijk partnerpensioen is niet conform.</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Conclusie.</w:t>
      </w:r>
      <w:r>
        <w:rPr>
          <w:rFonts w:ascii="Calibri" w:cs="Calibri" w:eastAsia="Calibri" w:hAnsi="Calibri"/>
          <w:b w:val="false"/>
          <w:bCs w:val="false"/>
          <w:i w:val="false"/>
          <w:iCs w:val="false"/>
          <w:sz w:val="22"/>
          <w:szCs w:val="22"/>
        </w:rPr>
        <w:t xml:space="preserve"> Alleen als alle vier de toetsen “ja” opleveren, is de regeling Wtp-conform. Dat is de reden dat “wij hebben al een beschikbarepremieregeling” nooit een afdoend antwoord is.</w:t>
      </w:r>
    </w:p>
    <w:p>
      <w:pPr>
        <w:spacing w:after="100"/>
      </w:pPr>
    </w:p>
    <w:p>
      <w:pPr>
        <w:pStyle w:val="Heading2"/>
        <w:spacing w:after="120" w:before="200"/>
      </w:pPr>
      <w:r>
        <w:rPr>
          <w:rFonts w:ascii="Georgia" w:cs="Georgia" w:eastAsia="Georgia" w:hAnsi="Georgia"/>
          <w:b/>
          <w:bCs/>
          <w:color w:val="2563A8"/>
          <w:sz w:val="28"/>
          <w:szCs w:val="28"/>
        </w:rPr>
        <w:t xml:space="preserve">5.4 Opbouw versus bestaande aanspraken</w:t>
      </w:r>
    </w:p>
    <w:p>
      <w:pPr>
        <w:spacing w:after="140" w:line="300"/>
      </w:pPr>
      <w:r>
        <w:rPr>
          <w:rFonts w:ascii="Calibri" w:cs="Calibri" w:eastAsia="Calibri" w:hAnsi="Calibri"/>
          <w:b w:val="false"/>
          <w:bCs w:val="false"/>
          <w:i w:val="false"/>
          <w:iCs w:val="false"/>
          <w:sz w:val="22"/>
          <w:szCs w:val="22"/>
        </w:rPr>
        <w:t xml:space="preserve">Dit onderscheid is het scharnier van het hele transitievraagstuk, en het wordt in gesprekken met werkgevers en deelnemers voortdurend verward.</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De vier toetsen gaan over nieuwe opbouw.</w:t>
      </w:r>
      <w:r>
        <w:rPr>
          <w:rFonts w:ascii="Calibri" w:cs="Calibri" w:eastAsia="Calibri" w:hAnsi="Calibri"/>
          <w:b w:val="false"/>
          <w:bCs w:val="false"/>
          <w:i w:val="false"/>
          <w:iCs w:val="false"/>
          <w:sz w:val="22"/>
          <w:szCs w:val="22"/>
        </w:rPr>
        <w:t xml:space="preserve"> Zij bepalen welke regeling er vanaf het transitiemoment mag gelden.</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Wat al is opgebouwd, is een aparte vraag.</w:t>
      </w:r>
      <w:r>
        <w:rPr>
          <w:rFonts w:ascii="Calibri" w:cs="Calibri" w:eastAsia="Calibri" w:hAnsi="Calibri"/>
          <w:b w:val="false"/>
          <w:bCs w:val="false"/>
          <w:i w:val="false"/>
          <w:iCs w:val="false"/>
          <w:sz w:val="22"/>
          <w:szCs w:val="22"/>
        </w:rPr>
        <w:t xml:space="preserve"> Daarvoor bestaan drie routes:</w:t>
      </w:r>
    </w:p>
    <w:p>
      <w:pPr>
        <w:pStyle w:val="ListParagraph"/>
        <w:numPr>
          <w:ilvl w:val="0"/>
          <w:numId w:val="1"/>
        </w:numPr>
        <w:spacing w:after="80"/>
      </w:pPr>
      <w:r>
        <w:rPr>
          <w:rFonts w:ascii="Calibri" w:cs="Calibri" w:eastAsia="Calibri" w:hAnsi="Calibri"/>
          <w:sz w:val="22"/>
          <w:szCs w:val="22"/>
        </w:rPr>
        <w:t xml:space="preserve">1. Invaren — de bestaande aanspraken worden omgezet naar het nieuwe stelsel, in persoonlijke pensioenvermogens. Uitgangspunt in de fondsenwereld.</w:t>
      </w:r>
    </w:p>
    <w:p>
      <w:pPr>
        <w:pStyle w:val="ListParagraph"/>
        <w:numPr>
          <w:ilvl w:val="0"/>
          <w:numId w:val="1"/>
        </w:numPr>
        <w:spacing w:after="80"/>
      </w:pPr>
      <w:r>
        <w:rPr>
          <w:rFonts w:ascii="Calibri" w:cs="Calibri" w:eastAsia="Calibri" w:hAnsi="Calibri"/>
          <w:sz w:val="22"/>
          <w:szCs w:val="22"/>
        </w:rPr>
        <w:t xml:space="preserve">2. Achterblijven — de bestaande aanspraken blijven staan onder de oude voorwaarden, premievrij. Uitgangspunt bij verzekerde regelingen, en ook de uitkomst bij fondsen die besluiten niet in te varen.</w:t>
      </w:r>
    </w:p>
    <w:p>
      <w:pPr>
        <w:pStyle w:val="ListParagraph"/>
        <w:numPr>
          <w:ilvl w:val="0"/>
          <w:numId w:val="1"/>
        </w:numPr>
        <w:spacing w:after="80"/>
      </w:pPr>
      <w:r>
        <w:rPr>
          <w:rFonts w:ascii="Calibri" w:cs="Calibri" w:eastAsia="Calibri" w:hAnsi="Calibri"/>
          <w:sz w:val="22"/>
          <w:szCs w:val="22"/>
        </w:rPr>
        <w:t xml:space="preserve">3. Overdragen — via individuele of collectieve waardeoverdracht naar een andere uitvoerder of naar de nieuwe regeling.</w:t>
      </w:r>
    </w:p>
    <w:p>
      <w:pPr>
        <w:spacing w:after="140" w:line="300"/>
      </w:pPr>
      <w:r>
        <w:rPr>
          <w:rFonts w:ascii="Calibri" w:cs="Calibri" w:eastAsia="Calibri" w:hAnsi="Calibri"/>
          <w:b w:val="false"/>
          <w:bCs w:val="false"/>
          <w:i w:val="false"/>
          <w:iCs w:val="false"/>
          <w:sz w:val="22"/>
          <w:szCs w:val="22"/>
        </w:rPr>
        <w:t xml:space="preserve">Alle drie de routes kennen eigen procedures, eigen zeggenschap en eigen risico’s. Deel 16 behandelt ze volledig. Wat je nu moet kunnen: de vraag “wat gebeurt er met mijn opgebouwde pensioen?” losknippen van de vraag “hoe bouw ik vanaf nu op?”.</w:t>
      </w:r>
    </w:p>
    <w:p>
      <w:pPr>
        <w:spacing w:after="100"/>
      </w:pPr>
    </w:p>
    <w:p>
      <w:pPr>
        <w:pStyle w:val="Heading2"/>
        <w:spacing w:after="120" w:before="200"/>
      </w:pPr>
      <w:r>
        <w:rPr>
          <w:rFonts w:ascii="Georgia" w:cs="Georgia" w:eastAsia="Georgia" w:hAnsi="Georgia"/>
          <w:b/>
          <w:bCs/>
          <w:color w:val="2563A8"/>
          <w:sz w:val="28"/>
          <w:szCs w:val="28"/>
        </w:rPr>
        <w:t xml:space="preserve">5.5 De fondsenroute</w:t>
      </w:r>
    </w:p>
    <w:p>
      <w:pPr>
        <w:spacing w:after="140" w:line="300"/>
      </w:pPr>
      <w:r>
        <w:rPr>
          <w:rFonts w:ascii="Calibri" w:cs="Calibri" w:eastAsia="Calibri" w:hAnsi="Calibri"/>
          <w:b w:val="false"/>
          <w:bCs w:val="false"/>
          <w:i w:val="false"/>
          <w:iCs w:val="false"/>
          <w:sz w:val="22"/>
          <w:szCs w:val="22"/>
        </w:rPr>
        <w:t xml:space="preserve">Bij pensioenfondsen verloopt de transitie via een vast stramien:</w:t>
      </w:r>
    </w:p>
    <w:p>
      <w:pPr>
        <w:pStyle w:val="ListParagraph"/>
        <w:numPr>
          <w:ilvl w:val="0"/>
          <w:numId w:val="1"/>
        </w:numPr>
        <w:spacing w:after="80"/>
      </w:pPr>
      <w:r>
        <w:rPr>
          <w:rFonts w:ascii="Calibri" w:cs="Calibri" w:eastAsia="Calibri" w:hAnsi="Calibri"/>
          <w:sz w:val="22"/>
          <w:szCs w:val="22"/>
        </w:rPr>
        <w:t xml:space="preserve">1. Arbeidsvoorwaardelijke fase. Sociale partners bepalen de nieuwe regeling en leggen hun keuzes vast in een transitieplan: welke contractvorm, hoe wordt omgegaan met de effecten per leeftijdsgroep, welke compensatie, en de onderbouwing van de evenwichtigheid.</w:t>
      </w:r>
    </w:p>
    <w:p>
      <w:pPr>
        <w:pStyle w:val="ListParagraph"/>
        <w:numPr>
          <w:ilvl w:val="0"/>
          <w:numId w:val="1"/>
        </w:numPr>
        <w:spacing w:after="80"/>
      </w:pPr>
      <w:r>
        <w:rPr>
          <w:rFonts w:ascii="Calibri" w:cs="Calibri" w:eastAsia="Calibri" w:hAnsi="Calibri"/>
          <w:sz w:val="22"/>
          <w:szCs w:val="22"/>
        </w:rPr>
        <w:t xml:space="preserve">2. Opdrachtaanvaarding. Het fondsbestuur beoordeelt of het de opdracht kan uitvoeren.</w:t>
      </w:r>
    </w:p>
    <w:p>
      <w:pPr>
        <w:pStyle w:val="ListParagraph"/>
        <w:numPr>
          <w:ilvl w:val="0"/>
          <w:numId w:val="1"/>
        </w:numPr>
        <w:spacing w:after="80"/>
      </w:pPr>
      <w:r>
        <w:rPr>
          <w:rFonts w:ascii="Calibri" w:cs="Calibri" w:eastAsia="Calibri" w:hAnsi="Calibri"/>
          <w:sz w:val="22"/>
          <w:szCs w:val="22"/>
        </w:rPr>
        <w:t xml:space="preserve">3. Invaarbesluit. Het bestuur besluit over het omzetten van bestaande aanspraken, met een onderbouwing van de evenwichtige belangenafweging, en meldt dit bij DNB.</w:t>
      </w:r>
    </w:p>
    <w:p>
      <w:pPr>
        <w:pStyle w:val="ListParagraph"/>
        <w:numPr>
          <w:ilvl w:val="0"/>
          <w:numId w:val="1"/>
        </w:numPr>
        <w:spacing w:after="80"/>
      </w:pPr>
      <w:r>
        <w:rPr>
          <w:rFonts w:ascii="Calibri" w:cs="Calibri" w:eastAsia="Calibri" w:hAnsi="Calibri"/>
          <w:sz w:val="22"/>
          <w:szCs w:val="22"/>
        </w:rPr>
        <w:t xml:space="preserve">4. Implementatieplan. Het fonds beschrijft hoe het de overgang realiseert: administratie, datakwaliteit, communicatie, planning.</w:t>
      </w:r>
    </w:p>
    <w:p>
      <w:pPr>
        <w:pStyle w:val="ListParagraph"/>
        <w:numPr>
          <w:ilvl w:val="0"/>
          <w:numId w:val="1"/>
        </w:numPr>
        <w:spacing w:after="80"/>
      </w:pPr>
      <w:r>
        <w:rPr>
          <w:rFonts w:ascii="Calibri" w:cs="Calibri" w:eastAsia="Calibri" w:hAnsi="Calibri"/>
          <w:sz w:val="22"/>
          <w:szCs w:val="22"/>
        </w:rPr>
        <w:t xml:space="preserve">5. Uitvoering en communicatie. Prognose-transitieoverzichten vooraf, definitieve transitieoverzichten na de omzetting; de AFM houdt hier toezicht op.</w:t>
      </w:r>
    </w:p>
    <w:p>
      <w:pPr>
        <w:spacing w:after="140" w:line="300"/>
      </w:pPr>
      <w:r>
        <w:rPr>
          <w:rFonts w:ascii="Calibri" w:cs="Calibri" w:eastAsia="Calibri" w:hAnsi="Calibri"/>
          <w:b w:val="false"/>
          <w:bCs w:val="false"/>
          <w:i w:val="false"/>
          <w:iCs w:val="false"/>
          <w:sz w:val="22"/>
          <w:szCs w:val="22"/>
        </w:rPr>
        <w:t xml:space="preserve">Kenmerkend voor deze route: </w:t>
      </w:r>
      <w:r>
        <w:rPr>
          <w:rFonts w:ascii="Calibri" w:cs="Calibri" w:eastAsia="Calibri" w:hAnsi="Calibri"/>
          <w:b/>
          <w:bCs/>
          <w:i w:val="false"/>
          <w:iCs w:val="false"/>
          <w:sz w:val="22"/>
          <w:szCs w:val="22"/>
        </w:rPr>
        <w:t xml:space="preserve">invaren is het uitgangspunt.</w:t>
      </w:r>
      <w:r>
        <w:rPr>
          <w:rFonts w:ascii="Calibri" w:cs="Calibri" w:eastAsia="Calibri" w:hAnsi="Calibri"/>
          <w:b w:val="false"/>
          <w:bCs w:val="false"/>
          <w:i w:val="false"/>
          <w:iCs w:val="false"/>
          <w:sz w:val="22"/>
          <w:szCs w:val="22"/>
        </w:rPr>
        <w:t xml:space="preserve"> Niet invaren kan, maar vergt een expliciete onderbouwing, bijvoorbeeld omdat omzetting tot een onevenwichtig nadeel zou leiden of omdat het fonds toch liquideert. Er is geen individueel bezwaarrecht van de deelnemer tegen het invaarbesluit als zodanig; de rechtsbescherming loopt via de fondsorganen, de klachten- en geschillenroute en het toezicht.</w:t>
      </w:r>
    </w:p>
    <w:p>
      <w:pPr>
        <w:spacing w:after="140" w:line="300"/>
      </w:pPr>
      <w:r>
        <w:rPr>
          <w:rFonts w:ascii="Calibri" w:cs="Calibri" w:eastAsia="Calibri" w:hAnsi="Calibri"/>
          <w:b w:val="false"/>
          <w:bCs w:val="false"/>
          <w:i w:val="false"/>
          <w:iCs w:val="false"/>
          <w:sz w:val="22"/>
          <w:szCs w:val="22"/>
        </w:rPr>
        <w:t xml:space="preserve">Bpf T&amp;I volgt deze route met transitiedatum 1 januari 2027.</w:t>
      </w:r>
    </w:p>
    <w:p>
      <w:pPr>
        <w:spacing w:after="100"/>
      </w:pPr>
    </w:p>
    <w:p>
      <w:pPr>
        <w:pStyle w:val="Heading2"/>
        <w:spacing w:after="120" w:before="200"/>
      </w:pPr>
      <w:r>
        <w:rPr>
          <w:rFonts w:ascii="Georgia" w:cs="Georgia" w:eastAsia="Georgia" w:hAnsi="Georgia"/>
          <w:b/>
          <w:bCs/>
          <w:color w:val="2563A8"/>
          <w:sz w:val="28"/>
          <w:szCs w:val="28"/>
        </w:rPr>
        <w:t xml:space="preserve">5.6 De verzekerde route</w:t>
      </w:r>
    </w:p>
    <w:p>
      <w:pPr>
        <w:spacing w:after="140" w:line="300"/>
      </w:pPr>
      <w:r>
        <w:rPr>
          <w:rFonts w:ascii="Calibri" w:cs="Calibri" w:eastAsia="Calibri" w:hAnsi="Calibri"/>
          <w:b w:val="false"/>
          <w:bCs w:val="false"/>
          <w:i w:val="false"/>
          <w:iCs w:val="false"/>
          <w:sz w:val="22"/>
          <w:szCs w:val="22"/>
        </w:rPr>
        <w:t xml:space="preserve">Bij een regeling die is ondergebracht bij een verzekeraar of PPI verloopt het anders:</w:t>
      </w:r>
    </w:p>
    <w:p>
      <w:pPr>
        <w:pStyle w:val="ListParagraph"/>
        <w:numPr>
          <w:ilvl w:val="0"/>
          <w:numId w:val="1"/>
        </w:numPr>
        <w:spacing w:after="80"/>
      </w:pPr>
      <w:r>
        <w:rPr>
          <w:rFonts w:ascii="Calibri" w:cs="Calibri" w:eastAsia="Calibri" w:hAnsi="Calibri"/>
          <w:sz w:val="22"/>
          <w:szCs w:val="22"/>
        </w:rPr>
        <w:t xml:space="preserve">1. De werkgever is de partij die beslist, samen met werknemersvertegenwoordiging — geen sociale partners aan een sectortafel, maar de OR of individuele instemming (deel 2).</w:t>
      </w:r>
    </w:p>
    <w:p>
      <w:pPr>
        <w:pStyle w:val="ListParagraph"/>
        <w:numPr>
          <w:ilvl w:val="0"/>
          <w:numId w:val="1"/>
        </w:numPr>
        <w:spacing w:after="80"/>
      </w:pPr>
      <w:r>
        <w:rPr>
          <w:rFonts w:ascii="Calibri" w:cs="Calibri" w:eastAsia="Calibri" w:hAnsi="Calibri"/>
          <w:sz w:val="22"/>
          <w:szCs w:val="22"/>
        </w:rPr>
        <w:t xml:space="preserve">2. Het natuurlijke moment is de contractexpiratie, niet een sectorbrede datum. Daardoor spreidt de transitie zich over duizenden individuele momenten.</w:t>
      </w:r>
    </w:p>
    <w:p>
      <w:pPr>
        <w:pStyle w:val="ListParagraph"/>
        <w:numPr>
          <w:ilvl w:val="0"/>
          <w:numId w:val="1"/>
        </w:numPr>
        <w:spacing w:after="80"/>
      </w:pPr>
      <w:r>
        <w:rPr>
          <w:rFonts w:ascii="Calibri" w:cs="Calibri" w:eastAsia="Calibri" w:hAnsi="Calibri"/>
          <w:sz w:val="22"/>
          <w:szCs w:val="22"/>
        </w:rPr>
        <w:t xml:space="preserve">3. De bestaande aanspraken blijven in beginsel achter bij de oude uitvoerder, premievrij, onder de voorwaarden van het oude contract. Er wordt niet ingevaren.</w:t>
      </w:r>
    </w:p>
    <w:p>
      <w:pPr>
        <w:pStyle w:val="ListParagraph"/>
        <w:numPr>
          <w:ilvl w:val="0"/>
          <w:numId w:val="1"/>
        </w:numPr>
        <w:spacing w:after="80"/>
      </w:pPr>
      <w:r>
        <w:rPr>
          <w:rFonts w:ascii="Calibri" w:cs="Calibri" w:eastAsia="Calibri" w:hAnsi="Calibri"/>
          <w:sz w:val="22"/>
          <w:szCs w:val="22"/>
        </w:rPr>
        <w:t xml:space="preserve">4. Collectieve waardeoverdracht is mogelijk, maar dat is een aparte procedure met een eigen regime — waaronder een individueel bezwaarrecht voor deelnemers. Dat verschil met de fondsenroute is fundamenteel.</w:t>
      </w:r>
    </w:p>
    <w:p>
      <w:pPr>
        <w:pStyle w:val="ListParagraph"/>
        <w:numPr>
          <w:ilvl w:val="0"/>
          <w:numId w:val="1"/>
        </w:numPr>
        <w:spacing w:after="80"/>
      </w:pPr>
      <w:r>
        <w:rPr>
          <w:rFonts w:ascii="Calibri" w:cs="Calibri" w:eastAsia="Calibri" w:hAnsi="Calibri"/>
          <w:sz w:val="22"/>
          <w:szCs w:val="22"/>
        </w:rPr>
        <w:t xml:space="preserve">5. Overgangsrecht speelt hier de grootste rol, omdat juist in deze wereld de progressieve staffel dominant was.</w:t>
      </w:r>
    </w:p>
    <w:p>
      <w:pPr>
        <w:spacing w:after="140" w:line="300"/>
      </w:pPr>
      <w:r>
        <w:rPr>
          <w:rFonts w:ascii="Calibri" w:cs="Calibri" w:eastAsia="Calibri" w:hAnsi="Calibri"/>
          <w:b w:val="false"/>
          <w:bCs w:val="false"/>
          <w:i w:val="false"/>
          <w:iCs w:val="false"/>
          <w:sz w:val="22"/>
          <w:szCs w:val="22"/>
        </w:rPr>
        <w:t xml:space="preserve">Van Doorn Techniek volgt deze route, met een contract dat afloopt per 31 december 2026.</w:t>
      </w:r>
    </w:p>
    <w:p>
      <w:pPr>
        <w:spacing w:after="100"/>
      </w:pPr>
    </w:p>
    <w:p>
      <w:pPr>
        <w:pStyle w:val="Heading2"/>
        <w:spacing w:after="120" w:before="200"/>
      </w:pPr>
      <w:r>
        <w:rPr>
          <w:rFonts w:ascii="Georgia" w:cs="Georgia" w:eastAsia="Georgia" w:hAnsi="Georgia"/>
          <w:b/>
          <w:bCs/>
          <w:color w:val="2563A8"/>
          <w:sz w:val="28"/>
          <w:szCs w:val="28"/>
        </w:rPr>
        <w:t xml:space="preserve">5.7 Drie soorten niet-conformiteit</w:t>
      </w:r>
    </w:p>
    <w:p>
      <w:pPr>
        <w:spacing w:after="140" w:line="300"/>
      </w:pPr>
      <w:r>
        <w:rPr>
          <w:rFonts w:ascii="Calibri" w:cs="Calibri" w:eastAsia="Calibri" w:hAnsi="Calibri"/>
          <w:b w:val="false"/>
          <w:bCs w:val="false"/>
          <w:i w:val="false"/>
          <w:iCs w:val="false"/>
          <w:sz w:val="22"/>
          <w:szCs w:val="22"/>
        </w:rPr>
        <w:t xml:space="preserve">Niet elke “nee” is dezelfde “nee”. Onderscheid deze drie, want het vervolg verschilt volledig.</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gridCol w:w="100"/>
        <w:gridCol w:w="100"/>
      </w:tblGrid>
      <w:tr>
        <w:trPr>
          <w:tblHeader/>
        </w:trPr>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Soort</w:t>
            </w:r>
          </w:p>
        </w:tc>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Voorbeeld</w:t>
            </w:r>
          </w:p>
        </w:tc>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Wat er moet gebeuren</w:t>
            </w:r>
          </w:p>
        </w:tc>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Overgangsrecht?</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A. Verkeerd karakter</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middelloonregeling</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opbouw in deze vorm eindigt uiterlijk 1-1-2028</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nee, niet voor nieuwe opbouw</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B. Leeftijdsafhankelijke premie</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staffel 8–26%</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overstap op vlakke premie, tenzij overgangsrecht</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ja, onder voorwaarden — deel 6</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 Conform van vorm, fout in de details</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vlakke premie boven de fiscale grens; diensttijdafhankelijk partnerpensioen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repareren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nee</w:t>
            </w:r>
          </w:p>
        </w:tc>
      </w:tr>
    </w:tbl>
    <w:p>
      <w:pPr>
        <w:spacing w:after="140" w:line="300"/>
      </w:pPr>
      <w:r>
        <w:rPr>
          <w:rFonts w:ascii="Calibri" w:cs="Calibri" w:eastAsia="Calibri" w:hAnsi="Calibri"/>
          <w:b w:val="false"/>
          <w:bCs w:val="false"/>
          <w:i w:val="false"/>
          <w:iCs w:val="false"/>
          <w:sz w:val="22"/>
          <w:szCs w:val="22"/>
        </w:rPr>
        <w:t xml:space="preserve">Soort C is de sluipende categorie. Werkgevers en adviseurs beschouwen een vlakke premieregeling als “klaar” en controleren de fiscale grens en het nabestaandenpensioen niet. Dat is de reden dat de toetsen 3 en 4 in de scheidslijnkaart staan en niet in een voetnoot.</w:t>
      </w:r>
    </w:p>
    <w:p>
      <w:pPr>
        <w:spacing w:after="100"/>
      </w:pPr>
    </w:p>
    <w:p>
      <w:pPr>
        <w:pStyle w:val="Heading2"/>
        <w:spacing w:after="120" w:before="200"/>
      </w:pPr>
      <w:r>
        <w:rPr>
          <w:rFonts w:ascii="Georgia" w:cs="Georgia" w:eastAsia="Georgia" w:hAnsi="Georgia"/>
          <w:b/>
          <w:bCs/>
          <w:color w:val="2563A8"/>
          <w:sz w:val="28"/>
          <w:szCs w:val="28"/>
        </w:rPr>
        <w:t xml:space="preserve">5.8 De data op een rij</w:t>
      </w:r>
    </w:p>
    <w:p>
      <w:pPr>
        <w:pStyle w:val="ListParagraph"/>
        <w:numPr>
          <w:ilvl w:val="0"/>
          <w:numId w:val="1"/>
        </w:numPr>
        <w:spacing w:after="80"/>
      </w:pPr>
      <w:r>
        <w:rPr>
          <w:rFonts w:ascii="Calibri" w:cs="Calibri" w:eastAsia="Calibri" w:hAnsi="Calibri"/>
          <w:sz w:val="22"/>
          <w:szCs w:val="22"/>
        </w:rPr>
        <w:t xml:space="preserve">1 juli 2023 — de Wtp treedt in werking; overstappen kan vanaf dat moment.</w:t>
      </w:r>
    </w:p>
    <w:p>
      <w:pPr>
        <w:pStyle w:val="ListParagraph"/>
        <w:numPr>
          <w:ilvl w:val="0"/>
          <w:numId w:val="1"/>
        </w:numPr>
        <w:spacing w:after="80"/>
      </w:pPr>
      <w:r>
        <w:rPr>
          <w:rFonts w:ascii="Calibri" w:cs="Calibri" w:eastAsia="Calibri" w:hAnsi="Calibri"/>
          <w:sz w:val="22"/>
          <w:szCs w:val="22"/>
        </w:rPr>
        <w:t xml:space="preserve">Eigen transitiemoment — per fonds of per werkgever, ergens tussen 2023 en 2028.</w:t>
      </w:r>
    </w:p>
    <w:p>
      <w:pPr>
        <w:pStyle w:val="ListParagraph"/>
        <w:numPr>
          <w:ilvl w:val="0"/>
          <w:numId w:val="1"/>
        </w:numPr>
        <w:spacing w:after="80"/>
      </w:pPr>
      <w:r>
        <w:rPr>
          <w:rFonts w:ascii="Calibri" w:cs="Calibri" w:eastAsia="Calibri" w:hAnsi="Calibri"/>
          <w:sz w:val="22"/>
          <w:szCs w:val="22"/>
        </w:rPr>
        <w:t xml:space="preserve">1 januari 2028 — uiterste datum. Vanaf dan moeten alle regelingen binnen de Wtp-kaders vallen: geen opbouw meer in een uitkeringsovereenkomst en geen leeftijdsafhankelijke premie meer, behoudens het overgangsrecht van deel 6.</w:t>
      </w:r>
    </w:p>
    <w:p>
      <w:pPr>
        <w:pStyle w:val="ListParagraph"/>
        <w:numPr>
          <w:ilvl w:val="0"/>
          <w:numId w:val="1"/>
        </w:numPr>
        <w:spacing w:after="80"/>
      </w:pPr>
      <w:r>
        <w:rPr>
          <w:rFonts w:ascii="Calibri" w:cs="Calibri" w:eastAsia="Calibri" w:hAnsi="Calibri"/>
          <w:sz w:val="22"/>
          <w:szCs w:val="22"/>
        </w:rPr>
        <w:t xml:space="preserve">Uiterlijk 1 januari 2037 — einde van de aanvullende fiscale ruimte voor compensatie.</w:t>
      </w:r>
    </w:p>
    <w:p>
      <w:pPr>
        <w:spacing w:after="140" w:line="300"/>
      </w:pPr>
      <w:r>
        <w:rPr>
          <w:rFonts w:ascii="Calibri" w:cs="Calibri" w:eastAsia="Calibri" w:hAnsi="Calibri"/>
          <w:b w:val="false"/>
          <w:bCs w:val="false"/>
          <w:i w:val="false"/>
          <w:iCs w:val="false"/>
          <w:sz w:val="22"/>
          <w:szCs w:val="22"/>
        </w:rPr>
        <w:t xml:space="preserve">Twee nuances die je in adviesgesprekken nodig hebt:</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Nuance 1.</w:t>
      </w:r>
      <w:r>
        <w:rPr>
          <w:rFonts w:ascii="Calibri" w:cs="Calibri" w:eastAsia="Calibri" w:hAnsi="Calibri"/>
          <w:b w:val="false"/>
          <w:bCs w:val="false"/>
          <w:i w:val="false"/>
          <w:iCs w:val="false"/>
          <w:sz w:val="22"/>
          <w:szCs w:val="22"/>
        </w:rPr>
        <w:t xml:space="preserve"> De verlenging van de transitieperiode met een jaar was bedoeld om de uitvoeringspiek te spreiden. Het is geen algemeen uitstel: de tussenliggende mijlpalen en het werk dat eraan voorafgaat, blijven staan.</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Nuance 2.</w:t>
      </w:r>
      <w:r>
        <w:rPr>
          <w:rFonts w:ascii="Calibri" w:cs="Calibri" w:eastAsia="Calibri" w:hAnsi="Calibri"/>
          <w:b w:val="false"/>
          <w:bCs w:val="false"/>
          <w:i w:val="false"/>
          <w:iCs w:val="false"/>
          <w:sz w:val="22"/>
          <w:szCs w:val="22"/>
        </w:rPr>
        <w:t xml:space="preserve"> Hoe later een werkgever overstapt, hoe korter de periode waarin hij de aanvullende fiscale compensatieruimte kan benutten. De einddatum van die ruimte schuift niet mee met het transitiemoment. Uitstellen is dus niet neutraal: het verkort het compensatievenster. Dit argument is in adviesgesprekken vaak overtuigender dan de deadline zelf.</w:t>
      </w:r>
    </w:p>
    <w:p>
      <w:pPr>
        <w:spacing w:after="100"/>
      </w:pPr>
    </w:p>
    <w:p>
      <w:pPr>
        <w:pStyle w:val="Heading2"/>
        <w:spacing w:after="120" w:before="200"/>
      </w:pPr>
      <w:r>
        <w:rPr>
          <w:rFonts w:ascii="Georgia" w:cs="Georgia" w:eastAsia="Georgia" w:hAnsi="Georgia"/>
          <w:b/>
          <w:bCs/>
          <w:color w:val="2563A8"/>
          <w:sz w:val="28"/>
          <w:szCs w:val="28"/>
        </w:rPr>
        <w:t xml:space="preserve">5.9 De casus getoetst</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Van Doorn Techniek (verzekerd, staffel).</w:t>
      </w:r>
      <w:r>
        <w:rPr>
          <w:rFonts w:ascii="Calibri" w:cs="Calibri" w:eastAsia="Calibri" w:hAnsi="Calibri"/>
          <w:b w:val="false"/>
          <w:bCs w:val="false"/>
          <w:i w:val="false"/>
          <w:iCs w:val="false"/>
          <w:sz w:val="22"/>
          <w:szCs w:val="22"/>
        </w:rPr>
        <w:t xml:space="preserve"/>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Toets 1: ja, premieovereenkomst. Toets 2: nee — staffel. Toets 3: nog te controleren. Toets 4: het partnerpensioen is diensttijdafhankelijk opgebouwd — nee.</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Diagnose: soort B én soort C. Het overgangsrecht kan de staffel voor bestaande deelnemers redden, maar het nabestaandenpensioen moet hoe dan ook om. Dat is een inzicht dat werkgevers verrast: ook wie het overgangsrecht gebruikt, ontkomt niet aan een aanpassing.</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Bpf T&amp;I tot 2027 (middelloon).</w:t>
      </w:r>
      <w:r>
        <w:rPr>
          <w:rFonts w:ascii="Calibri" w:cs="Calibri" w:eastAsia="Calibri" w:hAnsi="Calibri"/>
          <w:b w:val="false"/>
          <w:bCs w:val="false"/>
          <w:i w:val="false"/>
          <w:iCs w:val="false"/>
          <w:sz w:val="22"/>
          <w:szCs w:val="22"/>
        </w:rPr>
        <w:t xml:space="preserve"/>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Toets 1: nee. Soort A. Opbouw in deze vorm eindigt per 1 januari 2027, het gekozen transitiemoment. Bestaande aanspraken: invaren, met besluit en melding.</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Delta Chemie, gesloten middelloonregeling.</w:t>
      </w:r>
      <w:r>
        <w:rPr>
          <w:rFonts w:ascii="Calibri" w:cs="Calibri" w:eastAsia="Calibri" w:hAnsi="Calibri"/>
          <w:b w:val="false"/>
          <w:bCs w:val="false"/>
          <w:i w:val="false"/>
          <w:iCs w:val="false"/>
          <w:sz w:val="22"/>
          <w:szCs w:val="22"/>
        </w:rPr>
        <w:t xml:space="preserve"/>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Toets 1: nee. Soort A. De regeling is al gesloten voor nieuwe deelnemers, maar de bestaande deelnemers bouwen nog op — en die opbouw moet uiterlijk 1 januari 2028 stoppen. “Gesloten voor nieuwe deelnemers” is dus géén oplossing voor het conformiteitsvraagstuk, alleen voor de instroom.</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Delta Chemie, nieuwe instroom bij PPI, 13% vlak.</w:t>
      </w:r>
      <w:r>
        <w:rPr>
          <w:rFonts w:ascii="Calibri" w:cs="Calibri" w:eastAsia="Calibri" w:hAnsi="Calibri"/>
          <w:b w:val="false"/>
          <w:bCs w:val="false"/>
          <w:i w:val="false"/>
          <w:iCs w:val="false"/>
          <w:sz w:val="22"/>
          <w:szCs w:val="22"/>
        </w:rPr>
        <w:t xml:space="preserve"/>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Toets 1: ja. Toets 2: ja. Toets 3 en 4: te controleren. Waarschijnlijk conform, maar pas na controle vast te stellen.</w:t>
      </w:r>
    </w:p>
    <w:p>
      <w:pPr>
        <w:spacing w:after="100"/>
      </w:pPr>
    </w:p>
    <w:p>
      <w:pPr>
        <w:pStyle w:val="Heading2"/>
        <w:spacing w:after="120" w:before="200"/>
      </w:pPr>
      <w:r>
        <w:rPr>
          <w:rFonts w:ascii="Georgia" w:cs="Georgia" w:eastAsia="Georgia" w:hAnsi="Georgia"/>
          <w:b/>
          <w:bCs/>
          <w:color w:val="2563A8"/>
          <w:sz w:val="28"/>
          <w:szCs w:val="28"/>
        </w:rPr>
        <w:t xml:space="preserve">5.10 Veelgemaakte fouten</w:t>
      </w:r>
    </w:p>
    <w:p>
      <w:pPr>
        <w:pStyle w:val="ListParagraph"/>
        <w:numPr>
          <w:ilvl w:val="0"/>
          <w:numId w:val="1"/>
        </w:numPr>
        <w:spacing w:after="80"/>
      </w:pPr>
      <w:r>
        <w:rPr>
          <w:rFonts w:ascii="Calibri" w:cs="Calibri" w:eastAsia="Calibri" w:hAnsi="Calibri"/>
          <w:sz w:val="22"/>
          <w:szCs w:val="22"/>
        </w:rPr>
        <w:t xml:space="preserve">1. “Wij hebben een beschikbarepremieregeling, dus wij zijn klaar.” Zie toets 2 tot en met 4.</w:t>
      </w:r>
    </w:p>
    <w:p>
      <w:pPr>
        <w:pStyle w:val="ListParagraph"/>
        <w:numPr>
          <w:ilvl w:val="0"/>
          <w:numId w:val="1"/>
        </w:numPr>
        <w:spacing w:after="80"/>
      </w:pPr>
      <w:r>
        <w:rPr>
          <w:rFonts w:ascii="Calibri" w:cs="Calibri" w:eastAsia="Calibri" w:hAnsi="Calibri"/>
          <w:sz w:val="22"/>
          <w:szCs w:val="22"/>
        </w:rPr>
        <w:t xml:space="preserve">2. “De regeling is gesloten voor nieuwe deelnemers, dus hij mag blijven.” Sluiting regelt de instroom, niet de conformiteit van de doorlopende opbouw.</w:t>
      </w:r>
    </w:p>
    <w:p>
      <w:pPr>
        <w:pStyle w:val="ListParagraph"/>
        <w:numPr>
          <w:ilvl w:val="0"/>
          <w:numId w:val="1"/>
        </w:numPr>
        <w:spacing w:after="80"/>
      </w:pPr>
      <w:r>
        <w:rPr>
          <w:rFonts w:ascii="Calibri" w:cs="Calibri" w:eastAsia="Calibri" w:hAnsi="Calibri"/>
          <w:sz w:val="22"/>
          <w:szCs w:val="22"/>
        </w:rPr>
        <w:t xml:space="preserve">3. “Wij hebben tot 2028, dus we beginnen in 2027.” Het arbeidsvoorwaardelijke traject, de contractopzegtermijn en het implementatieslot bij de uitvoerder liggen ver vóór de transitiedatum. Voor Van Doorn ligt de eerste harde deadline op 30 juni 2026 — de opzegtermijn.</w:t>
      </w:r>
    </w:p>
    <w:p>
      <w:pPr>
        <w:pStyle w:val="ListParagraph"/>
        <w:numPr>
          <w:ilvl w:val="0"/>
          <w:numId w:val="1"/>
        </w:numPr>
        <w:spacing w:after="80"/>
      </w:pPr>
      <w:r>
        <w:rPr>
          <w:rFonts w:ascii="Calibri" w:cs="Calibri" w:eastAsia="Calibri" w:hAnsi="Calibri"/>
          <w:sz w:val="22"/>
          <w:szCs w:val="22"/>
        </w:rPr>
        <w:t xml:space="preserve">4. “Bij ons wordt alles ingevaren.” Alleen als je bij een fonds zit dat invaart. In de verzekerde wereld is achterblijven het uitgangspunt.</w:t>
      </w:r>
    </w:p>
    <w:p>
      <w:pPr>
        <w:pStyle w:val="ListParagraph"/>
        <w:numPr>
          <w:ilvl w:val="0"/>
          <w:numId w:val="1"/>
        </w:numPr>
        <w:spacing w:after="80"/>
      </w:pPr>
      <w:r>
        <w:rPr>
          <w:rFonts w:ascii="Calibri" w:cs="Calibri" w:eastAsia="Calibri" w:hAnsi="Calibri"/>
          <w:sz w:val="22"/>
          <w:szCs w:val="22"/>
        </w:rPr>
        <w:t xml:space="preserve">5. “Het overgangsrecht lost het op.” Het overgangsrecht ziet op de premiesystematiek voor een afgebakende groep, is eindig en verandert niets aan de andere drie toetsen.</w:t>
      </w:r>
    </w:p>
    <w:p>
      <w:pPr>
        <w:spacing w:after="140" w:line="300"/>
      </w:pPr>
      <w:r>
        <w:rPr>
          <w:rFonts w:ascii="Calibri" w:cs="Calibri" w:eastAsia="Calibri" w:hAnsi="Calibri"/>
          <w:b w:val="false"/>
          <w:bCs w:val="false"/>
          <w:i w:val="false"/>
          <w:iCs w:val="false"/>
          <w:sz w:val="22"/>
          <w:szCs w:val="22"/>
        </w:rPr>
        <w:t xml:space="preserve">Fout 3 is de fout die in de praktijk de meeste schade veroorzaakt, en fout 5 de fout die de meeste teleurstelling oplevert — daarom staat deel 6 direct hierna.</w:t>
      </w:r>
    </w:p>
    <w:p>
      <w:pPr>
        <w:spacing w:after="100"/>
      </w:pPr>
    </w:p>
    <w:p>
      <w:pPr>
        <w:pStyle w:val="Heading2"/>
        <w:spacing w:after="120" w:before="200"/>
      </w:pPr>
      <w:r>
        <w:rPr>
          <w:rFonts w:ascii="Georgia" w:cs="Georgia" w:eastAsia="Georgia" w:hAnsi="Georgia"/>
          <w:b/>
          <w:bCs/>
          <w:color w:val="2563A8"/>
          <w:sz w:val="28"/>
          <w:szCs w:val="28"/>
        </w:rPr>
        <w:t xml:space="preserve">5.11 Samenvatting</w:t>
      </w:r>
    </w:p>
    <w:p>
      <w:pPr>
        <w:pStyle w:val="ListParagraph"/>
        <w:numPr>
          <w:ilvl w:val="0"/>
          <w:numId w:val="1"/>
        </w:numPr>
        <w:spacing w:after="80"/>
      </w:pPr>
      <w:r>
        <w:rPr>
          <w:rFonts w:ascii="Calibri" w:cs="Calibri" w:eastAsia="Calibri" w:hAnsi="Calibri"/>
          <w:sz w:val="22"/>
          <w:szCs w:val="22"/>
        </w:rPr>
        <w:t xml:space="preserve">Vier toetsen bepalen conformiteit: premieovereenkomst, vlakke premie, binnen de fiscale grens, nabestaandenpensioen volgens het nieuwe kader.</w:t>
      </w:r>
    </w:p>
    <w:p>
      <w:pPr>
        <w:pStyle w:val="ListParagraph"/>
        <w:numPr>
          <w:ilvl w:val="0"/>
          <w:numId w:val="1"/>
        </w:numPr>
        <w:spacing w:after="80"/>
      </w:pPr>
      <w:r>
        <w:rPr>
          <w:rFonts w:ascii="Calibri" w:cs="Calibri" w:eastAsia="Calibri" w:hAnsi="Calibri"/>
          <w:sz w:val="22"/>
          <w:szCs w:val="22"/>
        </w:rPr>
        <w:t xml:space="preserve">De toetsen gaan over nieuwe opbouw; bestaande aanspraken volgen een eigen route: invaren, achterblijven of overdragen.</w:t>
      </w:r>
    </w:p>
    <w:p>
      <w:pPr>
        <w:pStyle w:val="ListParagraph"/>
        <w:numPr>
          <w:ilvl w:val="0"/>
          <w:numId w:val="1"/>
        </w:numPr>
        <w:spacing w:after="80"/>
      </w:pPr>
      <w:r>
        <w:rPr>
          <w:rFonts w:ascii="Calibri" w:cs="Calibri" w:eastAsia="Calibri" w:hAnsi="Calibri"/>
          <w:sz w:val="22"/>
          <w:szCs w:val="22"/>
        </w:rPr>
        <w:t xml:space="preserve">Fondsen: invaren is het uitgangspunt, met transitieplan, invaarbesluit en melding bij DNB.</w:t>
      </w:r>
    </w:p>
    <w:p>
      <w:pPr>
        <w:pStyle w:val="ListParagraph"/>
        <w:numPr>
          <w:ilvl w:val="0"/>
          <w:numId w:val="1"/>
        </w:numPr>
        <w:spacing w:after="80"/>
      </w:pPr>
      <w:r>
        <w:rPr>
          <w:rFonts w:ascii="Calibri" w:cs="Calibri" w:eastAsia="Calibri" w:hAnsi="Calibri"/>
          <w:sz w:val="22"/>
          <w:szCs w:val="22"/>
        </w:rPr>
        <w:t xml:space="preserve">Verzekerde regelingen: achterblijven is het uitgangspunt, met de contractexpiratie als natuurlijk moment.</w:t>
      </w:r>
    </w:p>
    <w:p>
      <w:pPr>
        <w:pStyle w:val="ListParagraph"/>
        <w:numPr>
          <w:ilvl w:val="0"/>
          <w:numId w:val="1"/>
        </w:numPr>
        <w:spacing w:after="80"/>
      </w:pPr>
      <w:r>
        <w:rPr>
          <w:rFonts w:ascii="Calibri" w:cs="Calibri" w:eastAsia="Calibri" w:hAnsi="Calibri"/>
          <w:sz w:val="22"/>
          <w:szCs w:val="22"/>
        </w:rPr>
        <w:t xml:space="preserve">Er zijn drie soorten niet-conformiteit; alleen soort B kan onder voorwaarden op overgangsrecht steunen.</w:t>
      </w:r>
    </w:p>
    <w:p>
      <w:pPr>
        <w:pStyle w:val="ListParagraph"/>
        <w:numPr>
          <w:ilvl w:val="0"/>
          <w:numId w:val="1"/>
        </w:numPr>
        <w:spacing w:after="80"/>
      </w:pPr>
      <w:r>
        <w:rPr>
          <w:rFonts w:ascii="Calibri" w:cs="Calibri" w:eastAsia="Calibri" w:hAnsi="Calibri"/>
          <w:sz w:val="22"/>
          <w:szCs w:val="22"/>
        </w:rPr>
        <w:t xml:space="preserve">Uitstellen verkort het compensatievenster, want de einddatum van de fiscale ruimte schuift niet mee.</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Doorkijk naar deel 6.</w:t>
      </w:r>
      <w:r>
        <w:rPr>
          <w:rFonts w:ascii="Calibri" w:cs="Calibri" w:eastAsia="Calibri" w:hAnsi="Calibri"/>
          <w:b w:val="false"/>
          <w:bCs w:val="false"/>
          <w:i w:val="false"/>
          <w:iCs w:val="false"/>
          <w:sz w:val="22"/>
          <w:szCs w:val="22"/>
        </w:rPr>
        <w:t xml:space="preserve"> Nu weet je wanneer een regeling niet conform is. Deel 6 beantwoordt de vraag die daarna altijd komt: mag de bestaande staffel dan tóch blijven, voor wie, onder welke voorwaarden en tot wanneer? Dat is het overgangsrecht — de eerbiedigende werking — en het is de belangrijkste keuze die een werkgever met een verzekerde regeling in dit dossier maakt.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A8" w:sz="6" w:space="4"/>
      </w:pBdr>
      <w:jc w:val="right"/>
    </w:pPr>
    <w:r>
      <w:rPr>
        <w:rFonts w:ascii="Calibri" w:cs="Calibri" w:eastAsia="Calibri" w:hAnsi="Calibri"/>
        <w:color w:val="2563A8"/>
        <w:sz w:val="16"/>
        <w:szCs w:val="16"/>
      </w:rPr>
      <w:t xml:space="preserve">Nederlandse pensioenverzekering · Niveau 1 — Fundament · Deel 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bc3638f0a5c8583e7eaceb908dfe2af19c03a45.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2026-08-17T11:22:43.642Z</dcterms:created>
  <dcterms:modified xsi:type="dcterms:W3CDTF">2026-08-17T11:22:43.642Z</dcterms:modified>
</cp:coreProperties>
</file>

<file path=docProps/custom.xml><?xml version="1.0" encoding="utf-8"?>
<Properties xmlns="http://schemas.openxmlformats.org/officeDocument/2006/custom-properties" xmlns:vt="http://schemas.openxmlformats.org/officeDocument/2006/docPropsVTypes"/>
</file>