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5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5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5.1 — De vier toetsen toepassen</w:t>
      </w:r>
    </w:p>
    <w:p>
      <w:pPr>
        <w:spacing w:after="140" w:line="300"/>
      </w:pPr>
      <w:r>
        <w:rPr>
          <w:rFonts w:ascii="Calibri" w:cs="Calibri" w:eastAsia="Calibri" w:hAnsi="Calibri"/>
          <w:b w:val="false"/>
          <w:bCs w:val="false"/>
          <w:i w:val="false"/>
          <w:iCs w:val="false"/>
          <w:sz w:val="22"/>
          <w:szCs w:val="22"/>
        </w:rPr>
        <w:t xml:space="preserve">Voer voor elke regeling de vier toetsen uit. Noteer per toets ja, nee of “informatie ontbreekt”.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Regeling A.</w:t>
      </w:r>
      <w:r>
        <w:rPr>
          <w:rFonts w:ascii="Calibri" w:cs="Calibri" w:eastAsia="Calibri" w:hAnsi="Calibri"/>
          <w:b w:val="false"/>
          <w:bCs w:val="false"/>
          <w:i w:val="false"/>
          <w:iCs w:val="false"/>
          <w:sz w:val="22"/>
          <w:szCs w:val="22"/>
        </w:rPr>
        <w:t xml:space="preserve"> Premieovereenkomst bij een PPI. Premie 14% van de pensioengrondslag voor alle deelnemers. Partnerpensioen op risicobasis, 40% van het pensioengevend salaris, ongeacht diensttijd. Ingegaan 1 januari 2026.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Regeling B.</w:t>
      </w:r>
      <w:r>
        <w:rPr>
          <w:rFonts w:ascii="Calibri" w:cs="Calibri" w:eastAsia="Calibri" w:hAnsi="Calibri"/>
          <w:b w:val="false"/>
          <w:bCs w:val="false"/>
          <w:i w:val="false"/>
          <w:iCs w:val="false"/>
          <w:sz w:val="22"/>
          <w:szCs w:val="22"/>
        </w:rPr>
        <w:t xml:space="preserve"> Premieovereenkomst bij een verzekeraar. Staffel van 8,4% tot 26,1%. Partnerpensioen op opbouwbasis, 70% van het te bereiken ouderdomspensioen. Ingegaan 2011, ongewijzigd.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Regeling C.</w:t>
      </w:r>
      <w:r>
        <w:rPr>
          <w:rFonts w:ascii="Calibri" w:cs="Calibri" w:eastAsia="Calibri" w:hAnsi="Calibri"/>
          <w:b w:val="false"/>
          <w:bCs w:val="false"/>
          <w:i w:val="false"/>
          <w:iCs w:val="false"/>
          <w:sz w:val="22"/>
          <w:szCs w:val="22"/>
        </w:rPr>
        <w:t xml:space="preserve"> Middelloonregeling bij een ondernemingspensioenfonds, opbouw 1,738%, gesloten voor nieuwe deelnemers per 2025.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Regeling D.</w:t>
      </w:r>
      <w:r>
        <w:rPr>
          <w:rFonts w:ascii="Calibri" w:cs="Calibri" w:eastAsia="Calibri" w:hAnsi="Calibri"/>
          <w:b w:val="false"/>
          <w:bCs w:val="false"/>
          <w:i w:val="false"/>
          <w:iCs w:val="false"/>
          <w:sz w:val="22"/>
          <w:szCs w:val="22"/>
        </w:rPr>
        <w:t xml:space="preserve"> Premieovereenkomst bij een verzekeraar. Premie 34% van de pensioengrondslag voor alle deelnemers, inclusief risicopremies. Partnerpensioen op risicobasis, 50% van het salaris.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1 ja, 2 ja, 3 informatie ontbreekt (percentage moet tegen de actuele fiscale grens worden gehouden, en de opbouw van het percentage — zit er kosten- en risicopremie in of niet?), 4 ja. Waarschijnlijk conform.</w:t>
      </w:r>
    </w:p>
    <w:p>
      <w:pPr>
        <w:spacing w:after="140" w:line="300"/>
      </w:pPr>
      <w:r>
        <w:rPr>
          <w:rFonts w:ascii="Calibri" w:cs="Calibri" w:eastAsia="Calibri" w:hAnsi="Calibri"/>
          <w:b w:val="false"/>
          <w:bCs w:val="false"/>
          <w:i w:val="false"/>
          <w:iCs w:val="false"/>
          <w:sz w:val="22"/>
          <w:szCs w:val="22"/>
        </w:rPr>
        <w:t xml:space="preserve">B: 1 ja, 2 nee (staffel), 3 informatie ontbreekt, 4 nee (diensttijdafhankelijk partnerpensioen op opbouwbasis). Soort B én C. Kernpunt: ook mét overgangsrecht voor de staffel moet het nabestaandenpensioen om.</w:t>
      </w:r>
    </w:p>
    <w:p>
      <w:pPr>
        <w:spacing w:after="140" w:line="300"/>
      </w:pPr>
      <w:r>
        <w:rPr>
          <w:rFonts w:ascii="Calibri" w:cs="Calibri" w:eastAsia="Calibri" w:hAnsi="Calibri"/>
          <w:b w:val="false"/>
          <w:bCs w:val="false"/>
          <w:i w:val="false"/>
          <w:iCs w:val="false"/>
          <w:sz w:val="22"/>
          <w:szCs w:val="22"/>
        </w:rPr>
        <w:t xml:space="preserve">C: 1 nee. Soort A. De sluiting voor nieuwe deelnemers is niet relevant voor de conformiteit van de doorlopende opbouw; die moet uiterlijk 1 januari 2028 eindigen.</w:t>
      </w:r>
    </w:p>
    <w:p>
      <w:pPr>
        <w:spacing w:after="140" w:line="300"/>
      </w:pPr>
      <w:r>
        <w:rPr>
          <w:rFonts w:ascii="Calibri" w:cs="Calibri" w:eastAsia="Calibri" w:hAnsi="Calibri"/>
          <w:b w:val="false"/>
          <w:bCs w:val="false"/>
          <w:i w:val="false"/>
          <w:iCs w:val="false"/>
          <w:sz w:val="22"/>
          <w:szCs w:val="22"/>
        </w:rPr>
        <w:t xml:space="preserve">D: 1 ja, 2 ja, 3 vermoedelijk nee — 34% inclusief risicopremies vraagt om nauwkeurige toetsing tegen de grens en de toegestane opslagen, 4 ja. Soort C: repareren, geen overgangsrecht beschikbaar voor een te hoge premie.</w:t>
      </w:r>
    </w:p>
    <w:p>
      <w:pPr>
        <w:spacing w:after="140" w:line="300"/>
      </w:pPr>
      <w:r>
        <w:rPr>
          <w:rFonts w:ascii="Calibri" w:cs="Calibri" w:eastAsia="Calibri" w:hAnsi="Calibri"/>
          <w:b w:val="false"/>
          <w:bCs w:val="false"/>
          <w:i w:val="false"/>
          <w:iCs w:val="false"/>
          <w:sz w:val="22"/>
          <w:szCs w:val="22"/>
        </w:rPr>
        <w:t xml:space="preserve">Let bij A en D op hetzelfde punt: de premiegrens werkt met een basispercentage plus toegestane opslagen. Een kaal percentage vergelijken met een kaal maximum leidt tot verkeerde conclusies. Deel 11.</w:t>
      </w:r>
    </w:p>
    <w:p>
      <w:pPr>
        <w:spacing w:after="100"/>
      </w:pPr>
    </w:p>
    <w:p>
      <w:pPr>
        <w:pStyle w:val="Heading2"/>
        <w:spacing w:after="120" w:before="200"/>
      </w:pPr>
      <w:r>
        <w:rPr>
          <w:rFonts w:ascii="Georgia" w:cs="Georgia" w:eastAsia="Georgia" w:hAnsi="Georgia"/>
          <w:b/>
          <w:bCs/>
          <w:color w:val="2563A8"/>
          <w:sz w:val="28"/>
          <w:szCs w:val="28"/>
        </w:rPr>
        <w:t xml:space="preserve">Opdracht 5.2 — Opbouw of bestaande aanspraak</w:t>
      </w:r>
    </w:p>
    <w:p>
      <w:pPr>
        <w:spacing w:after="140" w:line="300"/>
      </w:pPr>
      <w:r>
        <w:rPr>
          <w:rFonts w:ascii="Calibri" w:cs="Calibri" w:eastAsia="Calibri" w:hAnsi="Calibri"/>
          <w:b w:val="false"/>
          <w:bCs w:val="false"/>
          <w:i w:val="false"/>
          <w:iCs w:val="false"/>
          <w:sz w:val="22"/>
          <w:szCs w:val="22"/>
        </w:rPr>
        <w:t xml:space="preserve">Beslis per uitspraak of het over nieuwe opbouw gaat of over bestaande aanspraken, en wat het gevolg is.</w:t>
      </w:r>
    </w:p>
    <w:p>
      <w:pPr>
        <w:spacing w:after="140" w:line="300"/>
      </w:pPr>
      <w:r>
        <w:rPr>
          <w:rFonts w:ascii="Calibri" w:cs="Calibri" w:eastAsia="Calibri" w:hAnsi="Calibri"/>
          <w:b w:val="false"/>
          <w:bCs w:val="false"/>
          <w:i w:val="false"/>
          <w:iCs w:val="false"/>
          <w:sz w:val="22"/>
          <w:szCs w:val="22"/>
        </w:rPr>
        <w:t xml:space="preserve">a. “Mijn middelloonpensioen van 1998 tot 2010 bij mijn vorige werkgever.”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“De 1,738% die ik dit jaar nog opbouw bij Delta Chemie.”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“Het kapitaal dat Karel heeft opgebouwd onder de staffel bij Meridiaan.”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“De premie die Van Doorn vanaf 1 januari 2027 gaat betalen.”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bestaande aanspraak — de Wtp-eisen raken haar niet rechtstreeks; wat ermee gebeurt hangt af van de uitvoerder en van een eventueel invaarbesluit. b: nieuwe opbouw — moet uiterlijk per 1 januari 2028 stoppen in deze vorm. c: bestaande aanspraak — blijft in beginsel premievrij achter bij Meridiaan. d: nieuwe opbouw — moet aan alle vier de toetsen voldoen.</w:t>
            </w:r>
          </w:p>
        </w:tc>
      </w:tr>
    </w:tbl>
    <w:p>
      <w:pPr>
        <w:spacing w:after="140" w:line="300"/>
      </w:pPr>
      <w:r>
        <w:rPr>
          <w:rFonts w:ascii="Calibri" w:cs="Calibri" w:eastAsia="Calibri" w:hAnsi="Calibri"/>
          <w:b w:val="false"/>
          <w:bCs w:val="false"/>
          <w:i w:val="false"/>
          <w:iCs w:val="false"/>
          <w:sz w:val="22"/>
          <w:szCs w:val="22"/>
        </w:rPr>
        <w:t xml:space="preserve">Kernvaardigheid: bij elke vraag van een deelnemer eerst bepalen of het over het verleden of over de toekomst gaat. Veel verwarring in transitiecommunicatie ontstaat doordat beide in één zin worden beantwoord.</w:t>
      </w:r>
    </w:p>
    <w:p>
      <w:pPr>
        <w:spacing w:after="100"/>
      </w:pPr>
    </w:p>
    <w:p>
      <w:pPr>
        <w:pStyle w:val="Heading2"/>
        <w:spacing w:after="120" w:before="200"/>
      </w:pPr>
      <w:r>
        <w:rPr>
          <w:rFonts w:ascii="Georgia" w:cs="Georgia" w:eastAsia="Georgia" w:hAnsi="Georgia"/>
          <w:b/>
          <w:bCs/>
          <w:color w:val="2563A8"/>
          <w:sz w:val="28"/>
          <w:szCs w:val="28"/>
        </w:rPr>
        <w:t xml:space="preserve">Opdracht 5.3 — Fonds of verzekerd: het verschil uitspellen</w:t>
      </w:r>
    </w:p>
    <w:p>
      <w:pPr>
        <w:spacing w:after="140" w:line="300"/>
      </w:pPr>
      <w:r>
        <w:rPr>
          <w:rFonts w:ascii="Calibri" w:cs="Calibri" w:eastAsia="Calibri" w:hAnsi="Calibri"/>
          <w:b w:val="false"/>
          <w:bCs w:val="false"/>
          <w:i w:val="false"/>
          <w:iCs w:val="false"/>
          <w:sz w:val="22"/>
          <w:szCs w:val="22"/>
        </w:rPr>
        <w:t xml:space="preserve">Vul de tabel in.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Pensioenfonds</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Verzekerde 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beslist over de nieuwe 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is het natuurlijke transitiemoment?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gebeurt er standaard met bestaande aanspraken?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 er een individueel bezwaarrecht?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 ligt het zwaartepunt van het overgangsrecht?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Beslissen: sociale partners aan de sectortafel (bij een opf: werkgever en werknemersvertegenwoordiging) versus de werkgever met de OR of met individuele instemming.</w:t>
      </w:r>
    </w:p>
    <w:p>
      <w:pPr>
        <w:spacing w:after="140" w:line="300"/>
      </w:pPr>
      <w:r>
        <w:rPr>
          <w:rFonts w:ascii="Calibri" w:cs="Calibri" w:eastAsia="Calibri" w:hAnsi="Calibri"/>
          <w:b w:val="false"/>
          <w:bCs w:val="false"/>
          <w:i w:val="false"/>
          <w:iCs w:val="false"/>
          <w:sz w:val="22"/>
          <w:szCs w:val="22"/>
        </w:rPr>
        <w:t xml:space="preserve">Transitiemoment: een door het fonds gekozen datum, sectorbreed, versus de contractexpiratie, per werkgever.</w:t>
      </w:r>
    </w:p>
    <w:p>
      <w:pPr>
        <w:spacing w:after="140" w:line="300"/>
      </w:pPr>
      <w:r>
        <w:rPr>
          <w:rFonts w:ascii="Calibri" w:cs="Calibri" w:eastAsia="Calibri" w:hAnsi="Calibri"/>
          <w:b w:val="false"/>
          <w:bCs w:val="false"/>
          <w:i w:val="false"/>
          <w:iCs w:val="false"/>
          <w:sz w:val="22"/>
          <w:szCs w:val="22"/>
        </w:rPr>
        <w:t xml:space="preserve">Bestaande aanspraken: invaren is het uitgangspunt versus achterblijven is het uitgangspunt.</w:t>
      </w:r>
    </w:p>
    <w:p>
      <w:pPr>
        <w:spacing w:after="140" w:line="300"/>
      </w:pPr>
      <w:r>
        <w:rPr>
          <w:rFonts w:ascii="Calibri" w:cs="Calibri" w:eastAsia="Calibri" w:hAnsi="Calibri"/>
          <w:b w:val="false"/>
          <w:bCs w:val="false"/>
          <w:i w:val="false"/>
          <w:iCs w:val="false"/>
          <w:sz w:val="22"/>
          <w:szCs w:val="22"/>
        </w:rPr>
        <w:t xml:space="preserve">Individueel bezwaarrecht: niet tegen het invaarbesluit als zodanig; wel bij een collectieve waardeoverdracht in de verzekerde wereld.</w:t>
      </w:r>
    </w:p>
    <w:p>
      <w:pPr>
        <w:spacing w:after="140" w:line="300"/>
      </w:pPr>
      <w:r>
        <w:rPr>
          <w:rFonts w:ascii="Calibri" w:cs="Calibri" w:eastAsia="Calibri" w:hAnsi="Calibri"/>
          <w:b w:val="false"/>
          <w:bCs w:val="false"/>
          <w:i w:val="false"/>
          <w:iCs w:val="false"/>
          <w:sz w:val="22"/>
          <w:szCs w:val="22"/>
        </w:rPr>
        <w:t xml:space="preserve">Zwaartepunt overgangsrecht: bij fondsen ligt het accent op invaren, compensatie en evenwichtigheid; bij verzekerde regelingen op de eerbiedigende werking van de progressieve premie.</w:t>
      </w:r>
    </w:p>
    <w:p>
      <w:pPr>
        <w:spacing w:after="100"/>
      </w:pPr>
    </w:p>
    <w:p>
      <w:pPr>
        <w:pStyle w:val="Heading2"/>
        <w:spacing w:after="120" w:before="200"/>
      </w:pPr>
      <w:r>
        <w:rPr>
          <w:rFonts w:ascii="Georgia" w:cs="Georgia" w:eastAsia="Georgia" w:hAnsi="Georgia"/>
          <w:b/>
          <w:bCs/>
          <w:color w:val="2563A8"/>
          <w:sz w:val="28"/>
          <w:szCs w:val="28"/>
        </w:rPr>
        <w:t xml:space="preserve">Opdracht 5.4 — De tijdlijn van Van Doorn</w:t>
      </w:r>
    </w:p>
    <w:p>
      <w:pPr>
        <w:spacing w:after="140" w:line="300"/>
      </w:pPr>
      <w:r>
        <w:rPr>
          <w:rFonts w:ascii="Calibri" w:cs="Calibri" w:eastAsia="Calibri" w:hAnsi="Calibri"/>
          <w:b w:val="false"/>
          <w:bCs w:val="false"/>
          <w:i w:val="false"/>
          <w:iCs w:val="false"/>
          <w:sz w:val="22"/>
          <w:szCs w:val="22"/>
        </w:rPr>
        <w:t xml:space="preserve">Contract met Meridiaan loopt tot en met 31 december 2026, opzegtermijn zes maanden, stilzwijgende verlenging met een jaar.</w:t>
      </w:r>
    </w:p>
    <w:p>
      <w:pPr>
        <w:spacing w:after="140" w:line="300"/>
      </w:pPr>
      <w:r>
        <w:rPr>
          <w:rFonts w:ascii="Calibri" w:cs="Calibri" w:eastAsia="Calibri" w:hAnsi="Calibri"/>
          <w:b w:val="false"/>
          <w:bCs w:val="false"/>
          <w:i w:val="false"/>
          <w:iCs w:val="false"/>
          <w:sz w:val="22"/>
          <w:szCs w:val="22"/>
        </w:rPr>
        <w:t xml:space="preserve">a. Zet de volgende gebeurtenissen op een tijdlijn, met een realistische datum: OR-instemming, opzegging contract, offertetraject, transitieplan, implementatie bij de uitvoerder, communicatie naar deelnemers, ingangsdatum nieuwe 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eerste harde deadline?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gebeurt er als die deadline wordt gemist?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Indicatief: transitieplan en varianten najaar 2025 – voorjaar 2026; offertetraject voorjaar 2026; OR-traject voorjaar 2026, afgerond vóór juni; opzegging uiterlijk 30 juni 2026; contractering zomer 2026; implementatie bij de uitvoerder najaar 2026; communicatie najaar 2026; ingangsdatum 1 januari 2027.</w:t>
      </w:r>
    </w:p>
    <w:p>
      <w:pPr>
        <w:spacing w:after="140" w:line="300"/>
      </w:pPr>
      <w:r>
        <w:rPr>
          <w:rFonts w:ascii="Calibri" w:cs="Calibri" w:eastAsia="Calibri" w:hAnsi="Calibri"/>
          <w:b w:val="false"/>
          <w:bCs w:val="false"/>
          <w:i w:val="false"/>
          <w:iCs w:val="false"/>
          <w:sz w:val="22"/>
          <w:szCs w:val="22"/>
        </w:rPr>
        <w:t xml:space="preserve">b. 30 juni 2026 — de opzegtermijn. Anderhalf jaar vóór de wettelijke uiterste datum die iedereen in zijn hoofd heeft.</w:t>
      </w:r>
    </w:p>
    <w:p>
      <w:pPr>
        <w:spacing w:after="140" w:line="300"/>
      </w:pPr>
      <w:r>
        <w:rPr>
          <w:rFonts w:ascii="Calibri" w:cs="Calibri" w:eastAsia="Calibri" w:hAnsi="Calibri"/>
          <w:b w:val="false"/>
          <w:bCs w:val="false"/>
          <w:i w:val="false"/>
          <w:iCs w:val="false"/>
          <w:sz w:val="22"/>
          <w:szCs w:val="22"/>
        </w:rPr>
        <w:t xml:space="preserve">c. Het contract verlengt stilzwijgend met een jaar. Van Doorn zit dan vast tot en met 31 december 2027 in de oude vorm, met 1 januari 2028 als absolute grens. De marge is dan nul en elke vertraging in het arbeidsvoorwaardelijke traject wordt een probleem. Bovendien: elk jaar later betekent een korter venster voor de fiscale compensatieruimte.</w:t>
      </w:r>
    </w:p>
    <w:p>
      <w:pPr>
        <w:spacing w:after="140" w:line="300"/>
      </w:pPr>
      <w:r>
        <w:rPr>
          <w:rFonts w:ascii="Calibri" w:cs="Calibri" w:eastAsia="Calibri" w:hAnsi="Calibri"/>
          <w:b w:val="false"/>
          <w:bCs w:val="false"/>
          <w:i w:val="false"/>
          <w:iCs w:val="false"/>
          <w:sz w:val="22"/>
          <w:szCs w:val="22"/>
        </w:rPr>
        <w:t xml:space="preserve">Aandachtspunt: veel deelnemers zetten de ingangsdatum bovenaan en werken vooruit. Werk achteruit vanaf de gewenste ingangsdatum; dan komt de opzegtermijn vanzelf als eerste in beeld.</w:t>
      </w:r>
    </w:p>
    <w:p>
      <w:pPr>
        <w:spacing w:after="100"/>
      </w:pPr>
    </w:p>
    <w:p>
      <w:pPr>
        <w:pStyle w:val="Heading2"/>
        <w:spacing w:after="120" w:before="200"/>
      </w:pPr>
      <w:r>
        <w:rPr>
          <w:rFonts w:ascii="Georgia" w:cs="Georgia" w:eastAsia="Georgia" w:hAnsi="Georgia"/>
          <w:b/>
          <w:bCs/>
          <w:color w:val="2563A8"/>
          <w:sz w:val="28"/>
          <w:szCs w:val="28"/>
        </w:rPr>
        <w:t xml:space="preserve">Opdracht 5.5 — Uitstellen is niet neutraal *</w:t>
      </w:r>
    </w:p>
    <w:p>
      <w:pPr>
        <w:spacing w:after="140" w:line="300"/>
      </w:pPr>
      <w:r>
        <w:rPr>
          <w:rFonts w:ascii="Calibri" w:cs="Calibri" w:eastAsia="Calibri" w:hAnsi="Calibri"/>
          <w:b w:val="false"/>
          <w:bCs w:val="false"/>
          <w:i w:val="false"/>
          <w:iCs w:val="false"/>
          <w:sz w:val="22"/>
          <w:szCs w:val="22"/>
        </w:rPr>
        <w:t xml:space="preserve">Ferdi van Doorn zegt: “We hebben tot 2028, dus laten we het rustig aandoen en in 2027 beslissen.”</w:t>
      </w:r>
    </w:p>
    <w:p>
      <w:pPr>
        <w:spacing w:after="140" w:line="300"/>
      </w:pPr>
      <w:r>
        <w:rPr>
          <w:rFonts w:ascii="Calibri" w:cs="Calibri" w:eastAsia="Calibri" w:hAnsi="Calibri"/>
          <w:b w:val="false"/>
          <w:bCs w:val="false"/>
          <w:i w:val="false"/>
          <w:iCs w:val="false"/>
          <w:sz w:val="22"/>
          <w:szCs w:val="22"/>
        </w:rPr>
        <w:t xml:space="preserve">Formuleer een reactie van maximaal 150 woorden die drie argumenten bevat: het contractmoment, de capaciteit in de markt en het compensatievenster.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w:t>
            </w:r>
          </w:p>
        </w:tc>
      </w:tr>
    </w:tbl>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begrijp de gedachte, maar 2028 is niet het moment waarop je moet beslissen — het is het moment waarop alles klaar moet zijn. Drie dingen. Ten eerste je contract: dat loopt eind 2026 af, met een opzegtermijn van zes maanden. Beslis je in 2027, dan verleng je stilzwijgend en zit je vast tot eind 2027 met nul marge. Ten tweede de markt: er staan tienduizenden contracten in de rij bij dezelfde adviseurs en uitvoerders, en die capaciteit is eindig. Ten derde, en dat is het argument dat je directie het meest zal aanspreken: de extra fiscale ruimte om oudere medewerkers te compenseren loopt hoe dan ook af. Die einddatum schuift niet mee. Elk jaar dat je wacht, kost je een jaar compensatieruimte — dus wachten is niet gratis, het is duurder.”</w:t>
            </w:r>
          </w:p>
        </w:tc>
      </w:tr>
    </w:tbl>
    <w:p>
      <w:pPr>
        <w:spacing w:after="140" w:line="300"/>
      </w:pPr>
      <w:r>
        <w:rPr>
          <w:rFonts w:ascii="Calibri" w:cs="Calibri" w:eastAsia="Calibri" w:hAnsi="Calibri"/>
          <w:b w:val="false"/>
          <w:bCs w:val="false"/>
          <w:i w:val="false"/>
          <w:iCs w:val="false"/>
          <w:sz w:val="22"/>
          <w:szCs w:val="22"/>
        </w:rPr>
        <w:t xml:space="preserve">Beoordelingslijn: alle drie de argumenten aanwezig, geen dreigende toon, en het compensatieargument als sluitstuk. Antwoorden die alleen met de wettelijke deadline zwaaien scoren onvoldoende, omdat ze precies de reactie oproepen die Ferdi al gaf.</w:t>
      </w:r>
    </w:p>
    <w:p>
      <w:pPr>
        <w:spacing w:after="100"/>
      </w:pPr>
    </w:p>
    <w:p>
      <w:pPr>
        <w:pStyle w:val="Heading2"/>
        <w:spacing w:after="120" w:before="200"/>
      </w:pPr>
      <w:r>
        <w:rPr>
          <w:rFonts w:ascii="Georgia" w:cs="Georgia" w:eastAsia="Georgia" w:hAnsi="Georgia"/>
          <w:b/>
          <w:bCs/>
          <w:color w:val="2563A8"/>
          <w:sz w:val="28"/>
          <w:szCs w:val="28"/>
        </w:rPr>
        <w:t xml:space="preserve">Opdracht 5.6 — Diagnose op je eigen dossier</w:t>
      </w:r>
    </w:p>
    <w:p>
      <w:pPr>
        <w:spacing w:after="140" w:line="300"/>
      </w:pPr>
      <w:r>
        <w:rPr>
          <w:rFonts w:ascii="Calibri" w:cs="Calibri" w:eastAsia="Calibri" w:hAnsi="Calibri"/>
          <w:b w:val="false"/>
          <w:bCs w:val="false"/>
          <w:i w:val="false"/>
          <w:iCs w:val="false"/>
          <w:sz w:val="22"/>
          <w:szCs w:val="22"/>
        </w:rPr>
        <w:t xml:space="preserve">Neem het dossier uit de opdrachten 1.8, 3.8 en 4.8. Voer de vier toetsen uit, bepaal het soort niet-conformiteit (A, B of C) als daar sprake van is, en noteer welke drie vragen je zou stellen aan de werkgever of de uitvoerder.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alle vier toetsen expliciet beantwoord, inclusief “informatie ontbreekt” waar dat aan de orde is; correcte typering van het soort; en drie vragen die daadwerkelijk het verschil kunnen maken (niet: “hoe staat het ermee”, wel: “op welke datum loopt het contract af en wat is de opzegtermijn”).</w:t>
            </w:r>
          </w:p>
        </w:tc>
      </w:tr>
    </w:tbl>
    <w:p>
      <w:pPr>
        <w:spacing w:after="100"/>
      </w:pPr>
    </w:p>
    <w:p>
      <w:pPr>
        <w:pStyle w:val="Heading2"/>
        <w:spacing w:after="120" w:before="200"/>
      </w:pPr>
      <w:r>
        <w:rPr>
          <w:rFonts w:ascii="Georgia" w:cs="Georgia" w:eastAsia="Georgia" w:hAnsi="Georgia"/>
          <w:b/>
          <w:bCs/>
          <w:color w:val="2563A8"/>
          <w:sz w:val="28"/>
          <w:szCs w:val="28"/>
        </w:rPr>
        <w:t xml:space="preserve">Opdracht 5.7 — De vijf fouten herkennen</w:t>
      </w:r>
    </w:p>
    <w:p>
      <w:pPr>
        <w:spacing w:after="140" w:line="300"/>
      </w:pPr>
      <w:r>
        <w:rPr>
          <w:rFonts w:ascii="Calibri" w:cs="Calibri" w:eastAsia="Calibri" w:hAnsi="Calibri"/>
          <w:b w:val="false"/>
          <w:bCs w:val="false"/>
          <w:i w:val="false"/>
          <w:iCs w:val="false"/>
          <w:sz w:val="22"/>
          <w:szCs w:val="22"/>
        </w:rPr>
        <w:t xml:space="preserve">Bij welke van de vijf veelgemaakte fouten uit paragraaf 5.10 hoort elke uitspraak?</w:t>
      </w:r>
    </w:p>
    <w:p>
      <w:pPr>
        <w:spacing w:after="140" w:line="300"/>
      </w:pPr>
      <w:r>
        <w:rPr>
          <w:rFonts w:ascii="Calibri" w:cs="Calibri" w:eastAsia="Calibri" w:hAnsi="Calibri"/>
          <w:b w:val="false"/>
          <w:bCs w:val="false"/>
          <w:i w:val="false"/>
          <w:iCs w:val="false"/>
          <w:sz w:val="22"/>
          <w:szCs w:val="22"/>
        </w:rPr>
        <w:t xml:space="preserve">a. “Onze regeling is per 2024 gesloten voor nieuwe medewerkers, dus die valt buiten de hele operatie.”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“Meridiaan zet alles automatisch om, dat hoeven wij niet te regelen.”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 hebben een vlakke premie sinds 2019, dus wij hoeven niets te doen.”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“Zolang er overgangsrecht is, kunnen we de regeling laten zoals hij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 “Waarom nu al? De wet zegt 2028.”</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fout 2. b: fout 4. c: fout 1. d: fout 5. e: fout 3.</w:t>
            </w:r>
          </w:p>
        </w:tc>
      </w:tr>
    </w:tbl>
    <w:p>
      <w:pPr>
        <w:spacing w:after="140" w:line="300"/>
      </w:pPr>
      <w:r>
        <w:rPr>
          <w:rFonts w:ascii="Calibri" w:cs="Calibri" w:eastAsia="Calibri" w:hAnsi="Calibri"/>
          <w:b w:val="false"/>
          <w:bCs w:val="false"/>
          <w:i w:val="false"/>
          <w:iCs w:val="false"/>
          <w:sz w:val="22"/>
          <w:szCs w:val="22"/>
        </w:rPr>
        <w:t xml:space="preserve">Extra vraag om over na te denken: welke van deze vijf uitspraken zou je van een collega-adviseur kunnen horen in plaats van van een werkgever? In de praktijk zijn dat c en d — de fouten die inhoudelijke kennis veronderstellen en juist daardoor zelden worden nagevraagd.</w:t>
      </w:r>
    </w:p>
    <w:p>
      <w:pPr>
        <w:spacing w:after="100"/>
      </w:pPr>
    </w:p>
    <w:p>
      <w:pPr>
        <w:pStyle w:val="Heading2"/>
        <w:spacing w:after="120" w:before="200"/>
      </w:pPr>
      <w:r>
        <w:rPr>
          <w:rFonts w:ascii="Georgia" w:cs="Georgia" w:eastAsia="Georgia" w:hAnsi="Georgia"/>
          <w:b/>
          <w:bCs/>
          <w:color w:val="2563A8"/>
          <w:sz w:val="28"/>
          <w:szCs w:val="28"/>
        </w:rPr>
        <w:t xml:space="preserve">Opdracht 5.8 — Voorbereiding op deel 6</w:t>
      </w:r>
    </w:p>
    <w:p>
      <w:pPr>
        <w:spacing w:after="140" w:line="300"/>
      </w:pPr>
      <w:r>
        <w:rPr>
          <w:rFonts w:ascii="Calibri" w:cs="Calibri" w:eastAsia="Calibri" w:hAnsi="Calibri"/>
          <w:b w:val="false"/>
          <w:bCs w:val="false"/>
          <w:i w:val="false"/>
          <w:iCs w:val="false"/>
          <w:sz w:val="22"/>
          <w:szCs w:val="22"/>
        </w:rPr>
        <w:t xml:space="preserve">Noteer drie vragen die je hebt over het overgangsrecht: wat mag blijven, voor wie, en tot wanneer. Neem ze mee naar het volgende dagdeel.</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Deze vragen worden in deel 6 één voor één beantwoord; de docent verzamelt ze aan het begin van dat dagdeel en hangt ze zichtbaar op.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2026-08-17T11:22:43.698Z</dcterms:created>
  <dcterms:modified xsi:type="dcterms:W3CDTF">2026-08-17T11:22:43.698Z</dcterms:modified>
</cp:coreProperties>
</file>

<file path=docProps/custom.xml><?xml version="1.0" encoding="utf-8"?>
<Properties xmlns="http://schemas.openxmlformats.org/officeDocument/2006/custom-properties" xmlns:vt="http://schemas.openxmlformats.org/officeDocument/2006/docPropsVTypes"/>
</file>