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6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6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is het dagdeel waarop de deelnemers al sinds deel 4 wachten. Begin daarom met de flap “Deel 6” waarop de geparkeerde vragen staan en werk die tijdens het dagdeel zichtbaar af.</w:t>
      </w:r>
    </w:p>
    <w:p>
      <w:pPr>
        <w:spacing w:after="140" w:line="300"/>
      </w:pPr>
      <w:r>
        <w:rPr>
          <w:rFonts w:ascii="Calibri" w:cs="Calibri" w:eastAsia="Calibri" w:hAnsi="Calibri"/>
          <w:b w:val="false"/>
          <w:bCs w:val="false"/>
          <w:i w:val="false"/>
          <w:iCs w:val="false"/>
          <w:sz w:val="22"/>
          <w:szCs w:val="22"/>
        </w:rPr>
        <w:t xml:space="preserve">Eén boodschap moet boven alles landen:</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De eerbiedigende werking redt de staffel. Meer niet.</w:t>
            </w:r>
          </w:p>
        </w:tc>
      </w:tr>
    </w:tbl>
    <w:p>
      <w:pPr>
        <w:spacing w:after="140" w:line="300"/>
      </w:pPr>
      <w:r>
        <w:rPr>
          <w:rFonts w:ascii="Calibri" w:cs="Calibri" w:eastAsia="Calibri" w:hAnsi="Calibri"/>
          <w:b w:val="false"/>
          <w:bCs w:val="false"/>
          <w:i w:val="false"/>
          <w:iCs w:val="false"/>
          <w:sz w:val="22"/>
          <w:szCs w:val="22"/>
        </w:rPr>
        <w:t xml:space="preserve">Deelnemers die het dagdeel verlaten met het idee dat de eerbiedigende werking betekent “de regeling kan blijven zoals hij is”, hebben de belangrijkste les gemist — en zullen die fout in hun praktijk maken, want dat is precies hoe werkgevers het horen.</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Geparkeerde vragen ophalen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flap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artikel 220e doet — en niet doet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6-1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6.1 “dan hoeven wij niets te doen”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Toegangsvoorwaarden + opdracht 6.2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220i versus 220e, opdracht 6.3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 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 regelingen naast elkaar, opdracht 6.4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figuur 6-2, rollenspel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Baanwissel, overname, uitvoerderwissel, opdracht 6.5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Adviesmatrix, opdracht 6.6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zinnen,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Lees de geparkeerde vragen hardop voor. Zeg dat je ze vandaag allemaal beantwoordt en streep ze door zodra dat is gebeurd. Dat maakt de opbouw van niveau 1 zichtbaar en het beloont deelnemers die hebben gewacht.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220e doet.</w:t>
      </w:r>
      <w:r>
        <w:rPr>
          <w:rFonts w:ascii="Calibri" w:cs="Calibri" w:eastAsia="Calibri" w:hAnsi="Calibri"/>
          <w:b w:val="false"/>
          <w:bCs w:val="false"/>
          <w:i w:val="false"/>
          <w:iCs w:val="false"/>
          <w:sz w:val="22"/>
          <w:szCs w:val="22"/>
        </w:rPr>
        <w:t xml:space="preserve"> Teken de vier toetsen van deel 5 opnieuw en zet een cirkel om toets 2. Zeg erbij: artikel 220e raakt alleen dit blokje. De andere drie blijven staan. Deze visuele koppeling met het vorige dagdeel is effectiever dan welke uitleg ook.</w:t>
      </w:r>
    </w:p>
    <w:p>
      <w:pPr>
        <w:spacing w:after="140" w:line="300"/>
      </w:pPr>
      <w:r>
        <w:rPr>
          <w:rFonts w:ascii="Calibri" w:cs="Calibri" w:eastAsia="Calibri" w:hAnsi="Calibri"/>
          <w:b w:val="false"/>
          <w:bCs w:val="false"/>
          <w:i w:val="false"/>
          <w:iCs w:val="false"/>
          <w:sz w:val="22"/>
          <w:szCs w:val="22"/>
        </w:rPr>
        <w:t xml:space="preserve">Reken op ongeloof bij het nabestaandenpensioen. Er zit vrijwel altijd iemand in de zaal die in de praktijk heeft gehoord — soms van een uitvoerder — dat er “niets hoeft te veranderen”. Blijf hier feitelijk: de uitzondering ziet uitsluitend op het voorschrift van de leeftijdsonafhankelijke premie; alle overige bepalingen gelden onverkort. Als iemand tegenspreekt, noteer het als uit te zoeken punt en verwijs naar de Q&amp;A-sets van Werken aan ons Pensioen — dat is een betere reactie dan een discussie op autoriteit.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6.1.</w:t>
      </w:r>
      <w:r>
        <w:rPr>
          <w:rFonts w:ascii="Calibri" w:cs="Calibri" w:eastAsia="Calibri" w:hAnsi="Calibri"/>
          <w:b w:val="false"/>
          <w:bCs w:val="false"/>
          <w:i w:val="false"/>
          <w:iCs w:val="false"/>
          <w:sz w:val="22"/>
          <w:szCs w:val="22"/>
        </w:rPr>
        <w:t xml:space="preserve"> Laat de groep vier dingen verzamelen op de flap voordat je zelf iets noemt. Als ze er drie hebben, is dat prima; het vierde punt (contract en communicatie) noem je zelf.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Toegangsvoorwaarden.</w:t>
      </w:r>
      <w:r>
        <w:rPr>
          <w:rFonts w:ascii="Calibri" w:cs="Calibri" w:eastAsia="Calibri" w:hAnsi="Calibri"/>
          <w:b w:val="false"/>
          <w:bCs w:val="false"/>
          <w:i w:val="false"/>
          <w:iCs w:val="false"/>
          <w:sz w:val="22"/>
          <w:szCs w:val="22"/>
        </w:rPr>
        <w:t xml:space="preserve"> Schrijf drie dingen groot op:</w:t>
      </w:r>
    </w:p>
    <w:p>
      <w:pPr>
        <w:pStyle w:val="ListParagraph"/>
        <w:numPr>
          <w:ilvl w:val="0"/>
          <w:numId w:val="1"/>
        </w:numPr>
        <w:spacing w:after="80"/>
      </w:pPr>
      <w:r>
        <w:rPr>
          <w:rFonts w:ascii="Calibri" w:cs="Calibri" w:eastAsia="Calibri" w:hAnsi="Calibri"/>
          <w:sz w:val="22"/>
          <w:szCs w:val="22"/>
        </w:rPr>
        <w:t xml:space="preserve">welke regeling — bestond op 30 juni 2023, progressieve premie</w:t>
      </w:r>
    </w:p>
    <w:p>
      <w:pPr>
        <w:pStyle w:val="ListParagraph"/>
        <w:numPr>
          <w:ilvl w:val="0"/>
          <w:numId w:val="1"/>
        </w:numPr>
        <w:spacing w:after="80"/>
      </w:pPr>
      <w:r>
        <w:rPr>
          <w:rFonts w:ascii="Calibri" w:cs="Calibri" w:eastAsia="Calibri" w:hAnsi="Calibri"/>
          <w:sz w:val="22"/>
          <w:szCs w:val="22"/>
        </w:rPr>
        <w:t xml:space="preserve">welke deelnemer — nam deel op de dag vóór de omzetting</w:t>
      </w:r>
    </w:p>
    <w:p>
      <w:pPr>
        <w:pStyle w:val="ListParagraph"/>
        <w:numPr>
          <w:ilvl w:val="0"/>
          <w:numId w:val="1"/>
        </w:numPr>
        <w:spacing w:after="80"/>
      </w:pPr>
      <w:r>
        <w:rPr>
          <w:rFonts w:ascii="Calibri" w:cs="Calibri" w:eastAsia="Calibri" w:hAnsi="Calibri"/>
          <w:sz w:val="22"/>
          <w:szCs w:val="22"/>
        </w:rPr>
        <w:t xml:space="preserve">wanneer — omzetting uiterlijk per de wettelijke einddatum</w:t>
      </w:r>
    </w:p>
    <w:p>
      <w:pPr>
        <w:spacing w:after="140" w:line="300"/>
      </w:pPr>
      <w:r>
        <w:rPr>
          <w:rFonts w:ascii="Calibri" w:cs="Calibri" w:eastAsia="Calibri" w:hAnsi="Calibri"/>
          <w:b w:val="false"/>
          <w:bCs w:val="false"/>
          <w:i w:val="false"/>
          <w:iCs w:val="false"/>
          <w:sz w:val="22"/>
          <w:szCs w:val="22"/>
        </w:rPr>
        <w:t xml:space="preserve">Bij opdracht 6.2 is casus e (omzetten in maart 2028) de belangrijkste. Het inzicht: uitstel maakt de optie niet krap maar onmogelijk. Dit is een sterk argument in het gesprek met een aarzelende werkgever en het sluit direct aan op opdracht 5.5.</w:t>
      </w:r>
    </w:p>
    <w:p>
      <w:pPr>
        <w:spacing w:after="140" w:line="300"/>
      </w:pPr>
      <w:r>
        <w:rPr>
          <w:rFonts w:ascii="Calibri" w:cs="Calibri" w:eastAsia="Calibri" w:hAnsi="Calibri"/>
          <w:b w:val="false"/>
          <w:bCs w:val="false"/>
          <w:i w:val="false"/>
          <w:iCs w:val="false"/>
          <w:sz w:val="22"/>
          <w:szCs w:val="22"/>
        </w:rPr>
        <w:t xml:space="preserve">Casus c (middelloon met progressieve premie) verdient aandacht in gemengde groepen. Het redt de premiesystematiek, niet het karakter: de regeling moet alsnog een premieregeling worden. Deelnemers vinden dit contra-intuïtief.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220i versus 220e.</w:t>
      </w:r>
      <w:r>
        <w:rPr>
          <w:rFonts w:ascii="Calibri" w:cs="Calibri" w:eastAsia="Calibri" w:hAnsi="Calibri"/>
          <w:b w:val="false"/>
          <w:bCs w:val="false"/>
          <w:i w:val="false"/>
          <w:iCs w:val="false"/>
          <w:sz w:val="22"/>
          <w:szCs w:val="22"/>
        </w:rPr>
        <w:t xml:space="preserve"> Houd dit kort en concreet. De boodschap is niet dat deelnemers de artikelnummers uit hun hoofd leren, maar dat zij zien dat er tussen “nu nog niets doen” en “straks de staffel houden” een handeling zit. Gebruik opdracht 6.3 als check; drie minuten is genoeg.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Twee regelingen naast elkaar.</w:t>
      </w:r>
      <w:r>
        <w:rPr>
          <w:rFonts w:ascii="Calibri" w:cs="Calibri" w:eastAsia="Calibri" w:hAnsi="Calibri"/>
          <w:b w:val="false"/>
          <w:bCs w:val="false"/>
          <w:i w:val="false"/>
          <w:iCs w:val="false"/>
          <w:sz w:val="22"/>
          <w:szCs w:val="22"/>
        </w:rPr>
        <w:t xml:space="preserve"> Doe opdracht 6.4 als rollenspel. Twee deelnemers spelen Ravi en Yasmin, één speelt de HR-manager. Laat de HR-manager beide gesprekken achter elkaar voeren, in dezelfde zaal. Het punt komt vanzelf: het verhaal moet identiek zijn. Dit is de meest geslaagde werkvorm van dit dagdeel en hij duurt tien minuten.</w:t>
      </w:r>
    </w:p>
    <w:p>
      <w:pPr>
        <w:spacing w:after="140" w:line="300"/>
      </w:pPr>
      <w:r>
        <w:rPr>
          <w:rFonts w:ascii="Calibri" w:cs="Calibri" w:eastAsia="Calibri" w:hAnsi="Calibri"/>
          <w:b w:val="false"/>
          <w:bCs w:val="false"/>
          <w:i w:val="false"/>
          <w:iCs w:val="false"/>
          <w:sz w:val="22"/>
          <w:szCs w:val="22"/>
        </w:rPr>
        <w:t xml:space="preserve">Benoem daarna het punt dat in de markt het minst wordt gemaakt: </w:t>
      </w:r>
      <w:r>
        <w:rPr>
          <w:rFonts w:ascii="Calibri" w:cs="Calibri" w:eastAsia="Calibri" w:hAnsi="Calibri"/>
          <w:b/>
          <w:bCs/>
          <w:i w:val="false"/>
          <w:iCs w:val="false"/>
          <w:sz w:val="22"/>
          <w:szCs w:val="22"/>
        </w:rPr>
        <w:t xml:space="preserve">in een jong bestand is de eerbiedigende werking geen vriendelijke keuze.</w:t>
      </w:r>
      <w:r>
        <w:rPr>
          <w:rFonts w:ascii="Calibri" w:cs="Calibri" w:eastAsia="Calibri" w:hAnsi="Calibri"/>
          <w:b w:val="false"/>
          <w:bCs w:val="false"/>
          <w:i w:val="false"/>
          <w:iCs w:val="false"/>
          <w:sz w:val="22"/>
          <w:szCs w:val="22"/>
        </w:rPr>
        <w:t xml:space="preserve"> Zij conserveert de lage inleg van de zittende jongeren terwijl nieuwkomers direct de volle vlakke premie krijgen. Deelnemers die gewend zijn te denken “eerbiedigende werking = de mensen beschermen” schrikken hiervan, en terecht.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Overname (6.5).</w:t>
      </w:r>
      <w:r>
        <w:rPr>
          <w:rFonts w:ascii="Calibri" w:cs="Calibri" w:eastAsia="Calibri" w:hAnsi="Calibri"/>
          <w:b w:val="false"/>
          <w:bCs w:val="false"/>
          <w:i w:val="false"/>
          <w:iCs w:val="false"/>
          <w:sz w:val="22"/>
          <w:szCs w:val="22"/>
        </w:rPr>
        <w:t xml:space="preserve"> Dit onderdeel is technisch en gaat snel te diep. Houd het bij de hoofdregel — arbeidsvoorwaarden gaan mee — en bij de uitkomst: het aantal regelingsvarianten stapelt. Verwijs voor de fijnmazige gevallen naar niveau 3. Wat hier moet landen: pensioen hoort in de due diligence.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Adviesmatrix (6.6).</w:t>
      </w:r>
      <w:r>
        <w:rPr>
          <w:rFonts w:ascii="Calibri" w:cs="Calibri" w:eastAsia="Calibri" w:hAnsi="Calibri"/>
          <w:b w:val="false"/>
          <w:bCs w:val="false"/>
          <w:i w:val="false"/>
          <w:iCs w:val="false"/>
          <w:sz w:val="22"/>
          <w:szCs w:val="22"/>
        </w:rPr>
        <w:t xml:space="preserve"> Sluit hiermee inhoudelijk af. De vraag die elke deelnemer moet meenemen: </w:t>
      </w:r>
      <w:r>
        <w:rPr>
          <w:rFonts w:ascii="Calibri" w:cs="Calibri" w:eastAsia="Calibri" w:hAnsi="Calibri"/>
          <w:b w:val="false"/>
          <w:bCs w:val="false"/>
          <w:i/>
          <w:iCs/>
          <w:sz w:val="22"/>
          <w:szCs w:val="22"/>
        </w:rPr>
        <w:t xml:space="preserve">hoe ziet dit bestand er over tien jaar uit?</w:t>
      </w:r>
      <w:r>
        <w:rPr>
          <w:rFonts w:ascii="Calibri" w:cs="Calibri" w:eastAsia="Calibri" w:hAnsi="Calibri"/>
          <w:b w:val="false"/>
          <w:bCs w:val="false"/>
          <w:i w:val="false"/>
          <w:iCs w:val="false"/>
          <w:sz w:val="22"/>
          <w:szCs w:val="22"/>
        </w:rPr>
        <w:t xml:space="preserve"> Schrijf die vraag op de flap.</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“Hoe lang loopt de eerbiedigende werking door?”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Voor de gesloten groep loopt zij door zolang zij deelnemer blijven in die regeling — ook ná de uiterste transitiedatum. Er zit dus een lange staart aan. Wat er niet doorloopt is de instroom: die is per het omzetmoment definitief afgesloten.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“Mag je binnen de gesloten groep de staffel later alsnog vervangen?”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Ja, maar dan is het een gewone wijziging van een arbeidsvoorwaarde, met alles wat daarbij hoort — instemming, mogelijk compensatie. En terug kan niet: eenmaal over op de vlakke premie is de weg naar de staffel dicht.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“Onze uitvoerder zegt dat wij niets hoeven te doen.”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Vraag door wat de uitvoerder precies bedoelt. Soms slaat het op de administratie van het ouderdomspensioen, en niet op het nabestaandenpensioen of op de sluiting van de groep. Adviseer de werkgever het schriftelijk te bevestigen — dat is geen wantrouwen maar dossieropbouw.</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“Geldt dit ook voor fondsen?”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bepaling is niet naar uitvoerder geformuleerd, maar in de praktijk speelt zij vrijwel uitsluitend bij regelingen bij verzekeraars en PPI’s, omdat daar de progressieve staffel dominant was; fondsen kenden de doorsneesystematiek. Voor een gemengde groep is dit een goed moment om terug te grijpen op deel 1: dezelfde wet, andere praktijk.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“En de vrijwillige bijspaarregeling of excedentregeling?”</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Die moet apart worden beoordeeld en de behandeling ervan is onderwerp van vakinhoudelijk debat geweest. Noteer als aandachtspunt en verwijs naar niveau 2. Waarschuw wel: adviseurs die de basisregeling keurig regelen en de excedentregeling vergeten, komen daar vaak pas na de transitie achter.</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vier toetsen van deel 5 opnieuw op de flap, met een cirkel om toets 2</w:t>
      </w:r>
    </w:p>
    <w:p>
      <w:pPr>
        <w:pStyle w:val="ListParagraph"/>
        <w:numPr>
          <w:ilvl w:val="0"/>
          <w:numId w:val="1"/>
        </w:numPr>
        <w:spacing w:after="80"/>
      </w:pPr>
      <w:r>
        <w:rPr>
          <w:rFonts w:ascii="Calibri" w:cs="Calibri" w:eastAsia="Calibri" w:hAnsi="Calibri"/>
          <w:sz w:val="22"/>
          <w:szCs w:val="22"/>
        </w:rPr>
        <w:t xml:space="preserve">De geparkeerde vragen van de flap “Deel 6”</w:t>
      </w:r>
    </w:p>
    <w:p>
      <w:pPr>
        <w:pStyle w:val="ListParagraph"/>
        <w:numPr>
          <w:ilvl w:val="0"/>
          <w:numId w:val="1"/>
        </w:numPr>
        <w:spacing w:after="80"/>
      </w:pPr>
      <w:r>
        <w:rPr>
          <w:rFonts w:ascii="Calibri" w:cs="Calibri" w:eastAsia="Calibri" w:hAnsi="Calibri"/>
          <w:sz w:val="22"/>
          <w:szCs w:val="22"/>
        </w:rPr>
        <w:t xml:space="preserve">Drie rolkaartjes voor het rollenspel bij opdracht 6.4</w:t>
      </w:r>
    </w:p>
    <w:p>
      <w:pPr>
        <w:pStyle w:val="ListParagraph"/>
        <w:numPr>
          <w:ilvl w:val="0"/>
          <w:numId w:val="1"/>
        </w:numPr>
        <w:spacing w:after="80"/>
      </w:pPr>
      <w:r>
        <w:rPr>
          <w:rFonts w:ascii="Calibri" w:cs="Calibri" w:eastAsia="Calibri" w:hAnsi="Calibri"/>
          <w:sz w:val="22"/>
          <w:szCs w:val="22"/>
        </w:rPr>
        <w:t xml:space="preserve">Actualiteitencheck: raadpleeg de meest recente Q&amp;A-set voor verzekeraars en PPI’s vóór de sessie. Dit onderwerp is in ontwikkeling geweest en de sets worden periodiek herzien; laat de deelnemers zien dát je dit doet — het modelleert de beroepshouding die je in deel 5 bij de premiegrens al hebt geïntroduceerd.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6.7 (vijf zinnen) en 6.8 (eigen dossier). Kondig aan dat deel 7 de andere kant behandelt: wat als je géén eerbiedigende werking toepast — en wie betaalt dan het verschil voor Karel?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2026-08-17T11:22:43.960Z</dcterms:created>
  <dcterms:modified xsi:type="dcterms:W3CDTF">2026-08-17T11:22:43.961Z</dcterms:modified>
</cp:coreProperties>
</file>

<file path=docProps/custom.xml><?xml version="1.0" encoding="utf-8"?>
<Properties xmlns="http://schemas.openxmlformats.org/officeDocument/2006/custom-properties" xmlns:vt="http://schemas.openxmlformats.org/officeDocument/2006/docPropsVTypes"/>
</file>