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6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6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6.1 — Wat blijft er te doen?</w:t>
      </w:r>
    </w:p>
    <w:p>
      <w:pPr>
        <w:spacing w:after="140" w:line="300"/>
      </w:pPr>
      <w:r>
        <w:rPr>
          <w:rFonts w:ascii="Calibri" w:cs="Calibri" w:eastAsia="Calibri" w:hAnsi="Calibri"/>
          <w:b w:val="false"/>
          <w:bCs w:val="false"/>
          <w:i w:val="false"/>
          <w:iCs w:val="false"/>
          <w:sz w:val="22"/>
          <w:szCs w:val="22"/>
        </w:rPr>
        <w:t xml:space="preserve">Een werkgever met een progressieve staffel kiest voor de eerbiedigende werking en zegt: “Fijn, dan hoeven wij niets te doen.”</w:t>
      </w:r>
    </w:p>
    <w:p>
      <w:pPr>
        <w:spacing w:after="140" w:line="300"/>
      </w:pPr>
      <w:r>
        <w:rPr>
          <w:rFonts w:ascii="Calibri" w:cs="Calibri" w:eastAsia="Calibri" w:hAnsi="Calibri"/>
          <w:b w:val="false"/>
          <w:bCs w:val="false"/>
          <w:i w:val="false"/>
          <w:iCs w:val="false"/>
          <w:sz w:val="22"/>
          <w:szCs w:val="22"/>
        </w:rPr>
        <w:t xml:space="preserve">Noem vier dingen die hij tóch moet doen.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Het nabestaandenpensioen aanpassen aan het nieuwe kader — artikel 220e schakelt alleen het voorschrift van de vlakke premie uit.</w:t>
      </w:r>
    </w:p>
    <w:p>
      <w:pPr>
        <w:pStyle w:val="ListParagraph"/>
        <w:numPr>
          <w:ilvl w:val="0"/>
          <w:numId w:val="1"/>
        </w:numPr>
        <w:spacing w:after="80"/>
      </w:pPr>
      <w:r>
        <w:rPr>
          <w:rFonts w:ascii="Calibri" w:cs="Calibri" w:eastAsia="Calibri" w:hAnsi="Calibri"/>
          <w:sz w:val="22"/>
          <w:szCs w:val="22"/>
        </w:rPr>
        <w:t xml:space="preserve">2. De regeling sluiten voor nieuwe deelnemers en een tweede, Wtp-conforme regeling inrichten voor de instroom.</w:t>
      </w:r>
    </w:p>
    <w:p>
      <w:pPr>
        <w:pStyle w:val="ListParagraph"/>
        <w:numPr>
          <w:ilvl w:val="0"/>
          <w:numId w:val="1"/>
        </w:numPr>
        <w:spacing w:after="80"/>
      </w:pPr>
      <w:r>
        <w:rPr>
          <w:rFonts w:ascii="Calibri" w:cs="Calibri" w:eastAsia="Calibri" w:hAnsi="Calibri"/>
          <w:sz w:val="22"/>
          <w:szCs w:val="22"/>
        </w:rPr>
        <w:t xml:space="preserve">3. Het arbeidsvoorwaardelijke traject doorlopen: de wijziging van het nabestaandenpensioen is een wijziging van de pensioenovereenkomst, met instemming van de OR.</w:t>
      </w:r>
    </w:p>
    <w:p>
      <w:pPr>
        <w:pStyle w:val="ListParagraph"/>
        <w:numPr>
          <w:ilvl w:val="0"/>
          <w:numId w:val="1"/>
        </w:numPr>
        <w:spacing w:after="80"/>
      </w:pPr>
      <w:r>
        <w:rPr>
          <w:rFonts w:ascii="Calibri" w:cs="Calibri" w:eastAsia="Calibri" w:hAnsi="Calibri"/>
          <w:sz w:val="22"/>
          <w:szCs w:val="22"/>
        </w:rPr>
        <w:t xml:space="preserve">4. Het contract met de uitvoerder aanpassen en de communicatie richting deelnemers verzorgen.</w:t>
      </w:r>
    </w:p>
    <w:p>
      <w:pPr>
        <w:spacing w:after="140" w:line="300"/>
      </w:pPr>
      <w:r>
        <w:rPr>
          <w:rFonts w:ascii="Calibri" w:cs="Calibri" w:eastAsia="Calibri" w:hAnsi="Calibri"/>
          <w:b w:val="false"/>
          <w:bCs w:val="false"/>
          <w:i w:val="false"/>
          <w:iCs w:val="false"/>
          <w:sz w:val="22"/>
          <w:szCs w:val="22"/>
        </w:rPr>
        <w:t xml:space="preserve">Aanvullend, en vaak vergeten: controleren of de premie binnen de fiscale grens blijft en of eventuele vrijwillige bijspaar- of excedentregelingen apart moeten worden beoordeeld.</w:t>
      </w:r>
    </w:p>
    <w:p>
      <w:pPr>
        <w:spacing w:after="100"/>
      </w:pPr>
    </w:p>
    <w:p>
      <w:pPr>
        <w:pStyle w:val="Heading2"/>
        <w:spacing w:after="120" w:before="200"/>
      </w:pPr>
      <w:r>
        <w:rPr>
          <w:rFonts w:ascii="Georgia" w:cs="Georgia" w:eastAsia="Georgia" w:hAnsi="Georgia"/>
          <w:b/>
          <w:bCs/>
          <w:color w:val="2563A8"/>
          <w:sz w:val="28"/>
          <w:szCs w:val="28"/>
        </w:rPr>
        <w:t xml:space="preserve">Opdracht 6.2 — Toegang toetsen</w:t>
      </w:r>
    </w:p>
    <w:p>
      <w:pPr>
        <w:spacing w:after="140" w:line="300"/>
      </w:pPr>
      <w:r>
        <w:rPr>
          <w:rFonts w:ascii="Calibri" w:cs="Calibri" w:eastAsia="Calibri" w:hAnsi="Calibri"/>
          <w:b w:val="false"/>
          <w:bCs w:val="false"/>
          <w:i w:val="false"/>
          <w:iCs w:val="false"/>
          <w:sz w:val="22"/>
          <w:szCs w:val="22"/>
        </w:rPr>
        <w:t xml:space="preserve">Komt de regeling in aanmerking voor de eerbiedigende werking? Motiveer.</w:t>
      </w:r>
    </w:p>
    <w:p>
      <w:pPr>
        <w:spacing w:after="140" w:line="300"/>
      </w:pPr>
      <w:r>
        <w:rPr>
          <w:rFonts w:ascii="Calibri" w:cs="Calibri" w:eastAsia="Calibri" w:hAnsi="Calibri"/>
          <w:b w:val="false"/>
          <w:bCs w:val="false"/>
          <w:i w:val="false"/>
          <w:iCs w:val="false"/>
          <w:sz w:val="22"/>
          <w:szCs w:val="22"/>
        </w:rPr>
        <w:t xml:space="preserve">a. Premieregeling met staffel bij een PPI, ingegaan 1 maart 2019.</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Premieregeling met staffel bij een verzekeraar, ingegaan 1 januari 2024.</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Middelloonregeling met een progressieve premie bij een verzekeraar, ingegaan 2008.</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Premieregeling met een vlakke premie van 12%, ingegaan 2021, waarvan de werkgever nu spijt heeft omdat een staffel voor zijn oude bestand gunstiger was.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 Premieregeling met staffel, ingegaan 2015, waarbij de werkgever de omzetting pas in maart 2028 wil doen.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bestond op 30 juni 2023 met een progressieve premie.</w:t>
      </w:r>
    </w:p>
    <w:p>
      <w:pPr>
        <w:spacing w:after="140" w:line="300"/>
      </w:pPr>
      <w:r>
        <w:rPr>
          <w:rFonts w:ascii="Calibri" w:cs="Calibri" w:eastAsia="Calibri" w:hAnsi="Calibri"/>
          <w:b w:val="false"/>
          <w:bCs w:val="false"/>
          <w:i w:val="false"/>
          <w:iCs w:val="false"/>
          <w:sz w:val="22"/>
          <w:szCs w:val="22"/>
        </w:rPr>
        <w:t xml:space="preserve">b. Nee — de regeling bestond niet op 30 juni 2023. De datum is hard; er is geen ruimte voor “maar het is materieel dezelfde regeling als daarvoor” tenzij aantoonbaar sprake is van voortzetting van een al bestaande regeling. Onderzoek dat dan zorgvuldig en leg het vast.</w:t>
      </w:r>
    </w:p>
    <w:p>
      <w:pPr>
        <w:spacing w:after="140" w:line="300"/>
      </w:pPr>
      <w:r>
        <w:rPr>
          <w:rFonts w:ascii="Calibri" w:cs="Calibri" w:eastAsia="Calibri" w:hAnsi="Calibri"/>
          <w:b w:val="false"/>
          <w:bCs w:val="false"/>
          <w:i w:val="false"/>
          <w:iCs w:val="false"/>
          <w:sz w:val="22"/>
          <w:szCs w:val="22"/>
        </w:rPr>
        <w:t xml:space="preserve">c. Ja, in beginsel — een uitkeringsovereenkomst met progressieve premie bij een verzekeraar komt in aanmerking, maar de regeling moet wel worden omgezet naar een premieregeling. De eerbiedigende werking redt de premiesystematiek, niet het karakter.</w:t>
      </w:r>
    </w:p>
    <w:p>
      <w:pPr>
        <w:spacing w:after="140" w:line="300"/>
      </w:pPr>
      <w:r>
        <w:rPr>
          <w:rFonts w:ascii="Calibri" w:cs="Calibri" w:eastAsia="Calibri" w:hAnsi="Calibri"/>
          <w:b w:val="false"/>
          <w:bCs w:val="false"/>
          <w:i w:val="false"/>
          <w:iCs w:val="false"/>
          <w:sz w:val="22"/>
          <w:szCs w:val="22"/>
        </w:rPr>
        <w:t xml:space="preserve">d. Nee. Er is niets te eerbiedigen: de regeling had geen progressieve premie. Terug naar een staffel gaan is geen optie.</w:t>
      </w:r>
    </w:p>
    <w:p>
      <w:pPr>
        <w:spacing w:after="140" w:line="300"/>
      </w:pPr>
      <w:r>
        <w:rPr>
          <w:rFonts w:ascii="Calibri" w:cs="Calibri" w:eastAsia="Calibri" w:hAnsi="Calibri"/>
          <w:b w:val="false"/>
          <w:bCs w:val="false"/>
          <w:i w:val="false"/>
          <w:iCs w:val="false"/>
          <w:sz w:val="22"/>
          <w:szCs w:val="22"/>
        </w:rPr>
        <w:t xml:space="preserve">e. Nee, te laat. De omzetting moet uiterlijk per de wettelijke einddatum plaatsvinden; wie daarna omzet, heeft geen bestaande deelnemers meer in de zin van de bepaling. Dit is een van de scenario’s waarin uitstel niet alleen krap wordt maar de optie definitief laat vervallen.</w:t>
      </w:r>
    </w:p>
    <w:p>
      <w:pPr>
        <w:spacing w:after="140" w:line="300"/>
      </w:pPr>
      <w:r>
        <w:rPr>
          <w:rFonts w:ascii="Calibri" w:cs="Calibri" w:eastAsia="Calibri" w:hAnsi="Calibri"/>
          <w:b w:val="false"/>
          <w:bCs w:val="false"/>
          <w:i w:val="false"/>
          <w:iCs w:val="false"/>
          <w:sz w:val="22"/>
          <w:szCs w:val="22"/>
        </w:rPr>
        <w:t xml:space="preserve">Casus e is de belangrijkste van deze opdracht: het overgangsrecht is niet alleen begrensd in wie, maar ook in wanneer.</w:t>
      </w:r>
    </w:p>
    <w:p>
      <w:pPr>
        <w:spacing w:after="100"/>
      </w:pPr>
    </w:p>
    <w:p>
      <w:pPr>
        <w:pStyle w:val="Heading2"/>
        <w:spacing w:after="120" w:before="200"/>
      </w:pPr>
      <w:r>
        <w:rPr>
          <w:rFonts w:ascii="Georgia" w:cs="Georgia" w:eastAsia="Georgia" w:hAnsi="Georgia"/>
          <w:b/>
          <w:bCs/>
          <w:color w:val="2563A8"/>
          <w:sz w:val="28"/>
          <w:szCs w:val="28"/>
        </w:rPr>
        <w:t xml:space="preserve">Opdracht 6.3 — 220i of 220e</w:t>
      </w:r>
    </w:p>
    <w:p>
      <w:pPr>
        <w:spacing w:after="140" w:line="300"/>
      </w:pPr>
      <w:r>
        <w:rPr>
          <w:rFonts w:ascii="Calibri" w:cs="Calibri" w:eastAsia="Calibri" w:hAnsi="Calibri"/>
          <w:b w:val="false"/>
          <w:bCs w:val="false"/>
          <w:i w:val="false"/>
          <w:iCs w:val="false"/>
          <w:sz w:val="22"/>
          <w:szCs w:val="22"/>
        </w:rPr>
        <w:t xml:space="preserve">Welke bepaling is aan de orde?</w:t>
      </w:r>
    </w:p>
    <w:p>
      <w:pPr>
        <w:spacing w:after="140" w:line="300"/>
      </w:pPr>
      <w:r>
        <w:rPr>
          <w:rFonts w:ascii="Calibri" w:cs="Calibri" w:eastAsia="Calibri" w:hAnsi="Calibri"/>
          <w:b w:val="false"/>
          <w:bCs w:val="false"/>
          <w:i w:val="false"/>
          <w:iCs w:val="false"/>
          <w:sz w:val="22"/>
          <w:szCs w:val="22"/>
        </w:rPr>
        <w:t xml:space="preserve">a. Van Doorn Techniek voert in 2026 nog gewoon zijn oude staffelregeling uit, ongewijzigd.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Van Doorn zet per 1 januari 2027 om, sluit de oude regeling en houdt de staffel voor de 85 zittende medewerkers.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In 2031 werkt Karel nog steeds bij Van Doorn en bouwt hij nog op volgens de staffel.</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220i — de nieuwe voorschriften gelden gedurende de transitieperiode nog niet. b: het omzetmoment; vanaf hier geldt 220e voor de gesloten groep. c: 220e.</w:t>
            </w:r>
          </w:p>
        </w:tc>
      </w:tr>
    </w:tbl>
    <w:p>
      <w:pPr>
        <w:spacing w:after="140" w:line="300"/>
      </w:pPr>
      <w:r>
        <w:rPr>
          <w:rFonts w:ascii="Calibri" w:cs="Calibri" w:eastAsia="Calibri" w:hAnsi="Calibri"/>
          <w:b w:val="false"/>
          <w:bCs w:val="false"/>
          <w:i w:val="false"/>
          <w:iCs w:val="false"/>
          <w:sz w:val="22"/>
          <w:szCs w:val="22"/>
        </w:rPr>
        <w:t xml:space="preserve">Kernpunt: tussen a en c zit een handeling. Wie denkt dat het “vanzelf doorloopt”, mist het besluit, het sluiten van de groep en de omzetting van de rest van de regeling.</w:t>
      </w:r>
    </w:p>
    <w:p>
      <w:pPr>
        <w:spacing w:after="100"/>
      </w:pPr>
    </w:p>
    <w:p>
      <w:pPr>
        <w:pStyle w:val="Heading2"/>
        <w:spacing w:after="120" w:before="200"/>
      </w:pPr>
      <w:r>
        <w:rPr>
          <w:rFonts w:ascii="Georgia" w:cs="Georgia" w:eastAsia="Georgia" w:hAnsi="Georgia"/>
          <w:b/>
          <w:bCs/>
          <w:color w:val="2563A8"/>
          <w:sz w:val="28"/>
          <w:szCs w:val="28"/>
        </w:rPr>
        <w:t xml:space="preserve">Opdracht 6.4 — De twee even oude collega’s *</w:t>
      </w:r>
    </w:p>
    <w:p>
      <w:pPr>
        <w:spacing w:after="140" w:line="300"/>
      </w:pPr>
      <w:r>
        <w:rPr>
          <w:rFonts w:ascii="Calibri" w:cs="Calibri" w:eastAsia="Calibri" w:hAnsi="Calibri"/>
          <w:b w:val="false"/>
          <w:bCs w:val="false"/>
          <w:i w:val="false"/>
          <w:iCs w:val="false"/>
          <w:sz w:val="22"/>
          <w:szCs w:val="22"/>
        </w:rPr>
        <w:t xml:space="preserve">In 2029 komt Ravi (27) in dienst bij Van Doorn. Yasmin is dan 30 en zit in de gesloten groep. Ravi krijgt 15% vlak; Yasmin zit in de staffelklasse 25-29 met 9,7% en gaat per 2030 naar de volgende klasse.</w:t>
      </w:r>
    </w:p>
    <w:p>
      <w:pPr>
        <w:spacing w:after="140" w:line="300"/>
      </w:pPr>
      <w:r>
        <w:rPr>
          <w:rFonts w:ascii="Calibri" w:cs="Calibri" w:eastAsia="Calibri" w:hAnsi="Calibri"/>
          <w:b w:val="false"/>
          <w:bCs w:val="false"/>
          <w:i w:val="false"/>
          <w:iCs w:val="false"/>
          <w:sz w:val="22"/>
          <w:szCs w:val="22"/>
        </w:rPr>
        <w:t xml:space="preserve">a. Wie is er op dat moment beter af?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Wie is er naar verwachting op zijn 67e beter af?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Hoe leg je dit uit aan Ravi, die het onrechtvaardig vindt?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Hoe leg je dit uit aan Yasmin, die het onrechtvaardig vindt?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Ravi, op basis van de inleg van dit jaar.</w:t>
      </w:r>
    </w:p>
    <w:p>
      <w:pPr>
        <w:spacing w:after="140" w:line="300"/>
      </w:pPr>
      <w:r>
        <w:rPr>
          <w:rFonts w:ascii="Calibri" w:cs="Calibri" w:eastAsia="Calibri" w:hAnsi="Calibri"/>
          <w:b w:val="false"/>
          <w:bCs w:val="false"/>
          <w:i w:val="false"/>
          <w:iCs w:val="false"/>
          <w:sz w:val="22"/>
          <w:szCs w:val="22"/>
        </w:rPr>
        <w:t xml:space="preserve">b. Dat hangt af van de staffelhoogte in de latere jaren, van rendement en van hoe lang Yasmin blijft. Bij een staffel die oploopt tot boven de 25% en een volledige loopbaan bij deze werkgever, kan Yasmin uiteindelijk meer inleg hebben gehad. Maar juist het “als zij blijft” is de onzekerheid: de staffel beloont doorwerken bij dezelfde werkgever, en dat past niet bij een mobiele arbeidsmarkt.</w:t>
      </w:r>
    </w:p>
    <w:p>
      <w:pPr>
        <w:spacing w:after="140" w:line="300"/>
      </w:pPr>
      <w:r>
        <w:rPr>
          <w:rFonts w:ascii="Calibri" w:cs="Calibri" w:eastAsia="Calibri" w:hAnsi="Calibri"/>
          <w:b w:val="false"/>
          <w:bCs w:val="false"/>
          <w:i w:val="false"/>
          <w:iCs w:val="false"/>
          <w:sz w:val="22"/>
          <w:szCs w:val="22"/>
        </w:rPr>
        <w:t xml:space="preserve">c. Leg uit dat de wet twee systemen naast elkaar toestaat voor een afgebakende, uitdovende groep, en dat zijn eigen inleg vanaf dag één op het volle percentage staat terwijl die van zijn collega laag begon. Vermijd de formulering “jij hebt gewoon pech”; dat is feitelijk onjuist en relationeel schadelijk.</w:t>
      </w:r>
    </w:p>
    <w:p>
      <w:pPr>
        <w:spacing w:after="140" w:line="300"/>
      </w:pPr>
      <w:r>
        <w:rPr>
          <w:rFonts w:ascii="Calibri" w:cs="Calibri" w:eastAsia="Calibri" w:hAnsi="Calibri"/>
          <w:b w:val="false"/>
          <w:bCs w:val="false"/>
          <w:i w:val="false"/>
          <w:iCs w:val="false"/>
          <w:sz w:val="22"/>
          <w:szCs w:val="22"/>
        </w:rPr>
        <w:t xml:space="preserve">d. Leg uit dat haar percentage nu lager is maar meestijgt met haar leeftijd, en dat haar positie is bedoeld om de mensen te beschermen die het meest zouden verliezen bij een abrupte overstap. Wees eerlijk: voor een jonge deelnemer met verhuisplannen op de arbeidsmarkt is de gesloten groep niet per se de beste plek.</w:t>
      </w:r>
    </w:p>
    <w:p>
      <w:pPr>
        <w:spacing w:after="140" w:line="300"/>
      </w:pPr>
      <w:r>
        <w:rPr>
          <w:rFonts w:ascii="Calibri" w:cs="Calibri" w:eastAsia="Calibri" w:hAnsi="Calibri"/>
          <w:b w:val="false"/>
          <w:bCs w:val="false"/>
          <w:i w:val="false"/>
          <w:iCs w:val="false"/>
          <w:sz w:val="22"/>
          <w:szCs w:val="22"/>
        </w:rPr>
        <w:t xml:space="preserve">Beoordelingslijn bij c en d: beide antwoorden moeten hetzelfde feitelijke verhaal vertellen. Wie tegen Ravi iets anders zegt dan tegen Yasmin, wordt binnen een week bij de koffieautomaat afgerekend.</w:t>
      </w:r>
    </w:p>
    <w:p>
      <w:pPr>
        <w:spacing w:after="100"/>
      </w:pPr>
    </w:p>
    <w:p>
      <w:pPr>
        <w:pStyle w:val="Heading2"/>
        <w:spacing w:after="120" w:before="200"/>
      </w:pPr>
      <w:r>
        <w:rPr>
          <w:rFonts w:ascii="Georgia" w:cs="Georgia" w:eastAsia="Georgia" w:hAnsi="Georgia"/>
          <w:b/>
          <w:bCs/>
          <w:color w:val="2563A8"/>
          <w:sz w:val="28"/>
          <w:szCs w:val="28"/>
        </w:rPr>
        <w:t xml:space="preserve">Opdracht 6.5 — Overname</w:t>
      </w:r>
    </w:p>
    <w:p>
      <w:pPr>
        <w:spacing w:after="140" w:line="300"/>
      </w:pPr>
      <w:r>
        <w:rPr>
          <w:rFonts w:ascii="Calibri" w:cs="Calibri" w:eastAsia="Calibri" w:hAnsi="Calibri"/>
          <w:b w:val="false"/>
          <w:bCs w:val="false"/>
          <w:i w:val="false"/>
          <w:iCs w:val="false"/>
          <w:sz w:val="22"/>
          <w:szCs w:val="22"/>
        </w:rPr>
        <w:t xml:space="preserve">Van Doorn Techniek (progressieve premie, eerbiedigende werking) neemt in 2029 Installatiebedrijf Kramer over: 20 medewerkers, vlakke premie sinds 2026.</w:t>
      </w:r>
    </w:p>
    <w:p>
      <w:pPr>
        <w:spacing w:after="140" w:line="300"/>
      </w:pPr>
      <w:r>
        <w:rPr>
          <w:rFonts w:ascii="Calibri" w:cs="Calibri" w:eastAsia="Calibri" w:hAnsi="Calibri"/>
          <w:b w:val="false"/>
          <w:bCs w:val="false"/>
          <w:i w:val="false"/>
          <w:iCs w:val="false"/>
          <w:sz w:val="22"/>
          <w:szCs w:val="22"/>
        </w:rPr>
        <w:t xml:space="preserve">a. Wat gebeurt er met de pensioenovereenkomst van de 20 medewerkers van Kramer?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Mogen zij aansluiten bij de progressieve regeling van Van Doorn?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Hoeveel regelingsvarianten heeft Van Doorn na de overname?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Hun arbeidsvoorwaarden, inclusief de pensioenovereenkomst, gaan van rechtswege mee over. Zij behouden dus wat zij hadden: de vlakke premie.</w:t>
      </w:r>
    </w:p>
    <w:p>
      <w:pPr>
        <w:spacing w:after="140" w:line="300"/>
      </w:pPr>
      <w:r>
        <w:rPr>
          <w:rFonts w:ascii="Calibri" w:cs="Calibri" w:eastAsia="Calibri" w:hAnsi="Calibri"/>
          <w:b w:val="false"/>
          <w:bCs w:val="false"/>
          <w:i w:val="false"/>
          <w:iCs w:val="false"/>
          <w:sz w:val="22"/>
          <w:szCs w:val="22"/>
        </w:rPr>
        <w:t xml:space="preserve">b. Nee, niet als “erbij komen” in de gesloten groep — die is gesloten en de eerbiedigende werking geldt alleen voor wie op het omzetmoment deelnemer was in díe regeling. Wat wél kan: hen de nieuwe, vlakke regeling van Van Doorn aanbieden, of hun eigen regeling voortzetten. Harmonisatie is een arbeidsvoorwaardelijk traject op zich.</w:t>
      </w:r>
    </w:p>
    <w:p>
      <w:pPr>
        <w:spacing w:after="140" w:line="300"/>
      </w:pPr>
      <w:r>
        <w:rPr>
          <w:rFonts w:ascii="Calibri" w:cs="Calibri" w:eastAsia="Calibri" w:hAnsi="Calibri"/>
          <w:b w:val="false"/>
          <w:bCs w:val="false"/>
          <w:i w:val="false"/>
          <w:iCs w:val="false"/>
          <w:sz w:val="22"/>
          <w:szCs w:val="22"/>
        </w:rPr>
        <w:t xml:space="preserve">c. Minimaal drie: de gesloten progressieve regeling, de nieuwe vlakke regeling van Van Doorn, en de meegekomen regeling van Kramer — zolang die niet is geharmoniseerd. In de praktijk lopen bedrijven na een paar overnames tegen vier of vijf varianten aan.</w:t>
      </w:r>
    </w:p>
    <w:p>
      <w:pPr>
        <w:spacing w:after="140" w:line="300"/>
      </w:pPr>
      <w:r>
        <w:rPr>
          <w:rFonts w:ascii="Calibri" w:cs="Calibri" w:eastAsia="Calibri" w:hAnsi="Calibri"/>
          <w:b w:val="false"/>
          <w:bCs w:val="false"/>
          <w:i w:val="false"/>
          <w:iCs w:val="false"/>
          <w:sz w:val="22"/>
          <w:szCs w:val="22"/>
        </w:rPr>
        <w:t xml:space="preserve">Dit is de reden dat pensioen bij overnametrajecten een due-diligence-onderwerp is en geen bijzaak voor achteraf.</w:t>
      </w:r>
    </w:p>
    <w:p>
      <w:pPr>
        <w:spacing w:after="100"/>
      </w:pPr>
    </w:p>
    <w:p>
      <w:pPr>
        <w:pStyle w:val="Heading2"/>
        <w:spacing w:after="120" w:before="200"/>
      </w:pPr>
      <w:r>
        <w:rPr>
          <w:rFonts w:ascii="Georgia" w:cs="Georgia" w:eastAsia="Georgia" w:hAnsi="Georgia"/>
          <w:b/>
          <w:bCs/>
          <w:color w:val="2563A8"/>
          <w:sz w:val="28"/>
          <w:szCs w:val="28"/>
        </w:rPr>
        <w:t xml:space="preserve">Opdracht 6.6 — De adviesmatrix</w:t>
      </w:r>
    </w:p>
    <w:p>
      <w:pPr>
        <w:spacing w:after="140" w:line="300"/>
      </w:pPr>
      <w:r>
        <w:rPr>
          <w:rFonts w:ascii="Calibri" w:cs="Calibri" w:eastAsia="Calibri" w:hAnsi="Calibri"/>
          <w:b w:val="false"/>
          <w:bCs w:val="false"/>
          <w:i w:val="false"/>
          <w:iCs w:val="false"/>
          <w:sz w:val="22"/>
          <w:szCs w:val="22"/>
        </w:rPr>
        <w:t xml:space="preserve">Voor welke van deze vier werkgevers ligt de eerbiedigende werking het meest voor de hand, en voor welke het minst? Motiveer in één zin per werkgever.</w:t>
      </w:r>
    </w:p>
    <w:p>
      <w:pPr>
        <w:spacing w:after="140" w:line="300"/>
      </w:pPr>
      <w:r>
        <w:rPr>
          <w:rFonts w:ascii="Calibri" w:cs="Calibri" w:eastAsia="Calibri" w:hAnsi="Calibri"/>
          <w:b w:val="false"/>
          <w:bCs w:val="false"/>
          <w:i w:val="false"/>
          <w:iCs w:val="false"/>
          <w:sz w:val="22"/>
          <w:szCs w:val="22"/>
        </w:rPr>
        <w:t xml:space="preserve">a. Bouwtoeleverancier, 120 medewerkers, gemiddelde leeftijd 52, laag verloop.</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Softwarebedrijf, 45 medewerkers, gemiddelde leeftijd 31, verloop 20% per jaar.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Familiebedrijf, 30 medewerkers, gemiddelde leeftijd 44, groeiplannen met 20 nieuwe medewerkers in drie jaar.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Adviesbureau, 15 medewerkers, gemiddelde leeftijd 48, geen groei, eigenaar wil over vijf jaar verkopen.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Meest voor de hand: oud bestand, laag verloop, groot compensatievraagstuk bij overstap, en de gesloten groep vormt vrijwel het hele bedrijf.</w:t>
      </w:r>
    </w:p>
    <w:p>
      <w:pPr>
        <w:spacing w:after="140" w:line="300"/>
      </w:pPr>
      <w:r>
        <w:rPr>
          <w:rFonts w:ascii="Calibri" w:cs="Calibri" w:eastAsia="Calibri" w:hAnsi="Calibri"/>
          <w:b w:val="false"/>
          <w:bCs w:val="false"/>
          <w:i w:val="false"/>
          <w:iCs w:val="false"/>
          <w:sz w:val="22"/>
          <w:szCs w:val="22"/>
        </w:rPr>
        <w:t xml:space="preserve">b. Minst: jong bestand met hoog verloop; de gesloten groep dooft snel uit, de zittende jongeren zijn er slechter aan toe dan nieuwkomers, en de uitvoeringslast van twee regelingen weegt niet op tegen het voordeel.</w:t>
      </w:r>
    </w:p>
    <w:p>
      <w:pPr>
        <w:spacing w:after="140" w:line="300"/>
      </w:pPr>
      <w:r>
        <w:rPr>
          <w:rFonts w:ascii="Calibri" w:cs="Calibri" w:eastAsia="Calibri" w:hAnsi="Calibri"/>
          <w:b w:val="false"/>
          <w:bCs w:val="false"/>
          <w:i w:val="false"/>
          <w:iCs w:val="false"/>
          <w:sz w:val="22"/>
          <w:szCs w:val="22"/>
        </w:rPr>
        <w:t xml:space="preserve">c. Twijfelgeval, neigend naar niet: met 20 nieuwe medewerkers op 30 zittenden krijg je binnen drie jaar twee bijna even grote regelingen naast elkaar, met alle uitlegproblemen van dien.</w:t>
      </w:r>
    </w:p>
    <w:p>
      <w:pPr>
        <w:spacing w:after="140" w:line="300"/>
      </w:pPr>
      <w:r>
        <w:rPr>
          <w:rFonts w:ascii="Calibri" w:cs="Calibri" w:eastAsia="Calibri" w:hAnsi="Calibri"/>
          <w:b w:val="false"/>
          <w:bCs w:val="false"/>
          <w:i w:val="false"/>
          <w:iCs w:val="false"/>
          <w:sz w:val="22"/>
          <w:szCs w:val="22"/>
        </w:rPr>
        <w:t xml:space="preserve">d. Aandachtspunt: een gesloten progressieve regeling maakt het bedrijf minder eenvoudig te verkopen en te integreren bij een koper. Dat argument staat in geen enkele premietabel maar weegt hier zwaar.</w:t>
      </w:r>
    </w:p>
    <w:p>
      <w:pPr>
        <w:spacing w:after="140" w:line="300"/>
      </w:pPr>
      <w:r>
        <w:rPr>
          <w:rFonts w:ascii="Calibri" w:cs="Calibri" w:eastAsia="Calibri" w:hAnsi="Calibri"/>
          <w:b w:val="false"/>
          <w:bCs w:val="false"/>
          <w:i w:val="false"/>
          <w:iCs w:val="false"/>
          <w:sz w:val="22"/>
          <w:szCs w:val="22"/>
        </w:rPr>
        <w:t xml:space="preserve">Beoordelingslijn: sterke antwoorden gebruiken bij elke werkgever de vraag “hoe ziet het bestand er over tien jaar uit”, niet de premie van vandaag.</w:t>
      </w:r>
    </w:p>
    <w:p>
      <w:pPr>
        <w:spacing w:after="100"/>
      </w:pPr>
    </w:p>
    <w:p>
      <w:pPr>
        <w:pStyle w:val="Heading2"/>
        <w:spacing w:after="120" w:before="200"/>
      </w:pPr>
      <w:r>
        <w:rPr>
          <w:rFonts w:ascii="Georgia" w:cs="Georgia" w:eastAsia="Georgia" w:hAnsi="Georgia"/>
          <w:b/>
          <w:bCs/>
          <w:color w:val="2563A8"/>
          <w:sz w:val="28"/>
          <w:szCs w:val="28"/>
        </w:rPr>
        <w:t xml:space="preserve">Opdracht 6.7 — Vijf zinnen oefenen</w:t>
      </w:r>
    </w:p>
    <w:p>
      <w:pPr>
        <w:spacing w:after="140" w:line="300"/>
      </w:pPr>
      <w:r>
        <w:rPr>
          <w:rFonts w:ascii="Calibri" w:cs="Calibri" w:eastAsia="Calibri" w:hAnsi="Calibri"/>
          <w:b w:val="false"/>
          <w:bCs w:val="false"/>
          <w:i w:val="false"/>
          <w:iCs w:val="false"/>
          <w:sz w:val="22"/>
          <w:szCs w:val="22"/>
        </w:rPr>
        <w:t xml:space="preserve">Formuleer de vijf zinnen uit paragraaf 6.10 in je eigen woorden, gericht aan Ferdi van Doorn. Maximaal twee regels per zin, geen jargon, geen wetsartikelen.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alle vijf de punten aanwezig; geen enkel wetsartikel; geen zin die de indruk wekt dat de regeling ongewijzigd kan blijven. Als een deelnemer “artikel 220e” of “eerbiedigende werking” gebruikt zonder uitleg, laat hem het opnieuw doen — Ferdi is installateur, geen jurist.</w:t>
            </w:r>
          </w:p>
        </w:tc>
      </w:tr>
    </w:tbl>
    <w:p>
      <w:pPr>
        <w:spacing w:after="100"/>
      </w:pPr>
    </w:p>
    <w:p>
      <w:pPr>
        <w:pStyle w:val="Heading2"/>
        <w:spacing w:after="120" w:before="200"/>
      </w:pPr>
      <w:r>
        <w:rPr>
          <w:rFonts w:ascii="Georgia" w:cs="Georgia" w:eastAsia="Georgia" w:hAnsi="Georgia"/>
          <w:b/>
          <w:bCs/>
          <w:color w:val="2563A8"/>
          <w:sz w:val="28"/>
          <w:szCs w:val="28"/>
        </w:rPr>
        <w:t xml:space="preserve">Opdracht 6.8 — Je eigen dossier</w:t>
      </w:r>
    </w:p>
    <w:p>
      <w:pPr>
        <w:spacing w:after="140" w:line="300"/>
      </w:pPr>
      <w:r>
        <w:rPr>
          <w:rFonts w:ascii="Calibri" w:cs="Calibri" w:eastAsia="Calibri" w:hAnsi="Calibri"/>
          <w:b w:val="false"/>
          <w:bCs w:val="false"/>
          <w:i w:val="false"/>
          <w:iCs w:val="false"/>
          <w:sz w:val="22"/>
          <w:szCs w:val="22"/>
        </w:rPr>
        <w:t xml:space="preserve">Neem het dossier uit opdracht 5.6. Als daar sprake is van een progressieve premie: toets de drie toegangsvoorwaarden en bepaal of de eerbiedigende werking een reële optie is. Als er geen progressieve premie is: bepaal welke van de andere toetsen uit deel 5 nog openstaat en wat daarvoor moet gebeuren.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de datum 30 juni 2023 is expliciet getoetst; het onderscheid tussen “de staffel mag blijven” en “de rest moet om” is gemaakt; en er is een uitspraak gedaan over het personeelsbestand over tien jaar, niet alleen over de situatie nu.</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2026-08-17T11:22:43.907Z</dcterms:created>
  <dcterms:modified xsi:type="dcterms:W3CDTF">2026-08-17T11:22:43.908Z</dcterms:modified>
</cp:coreProperties>
</file>

<file path=docProps/custom.xml><?xml version="1.0" encoding="utf-8"?>
<Properties xmlns="http://schemas.openxmlformats.org/officeDocument/2006/custom-properties" xmlns:vt="http://schemas.openxmlformats.org/officeDocument/2006/docPropsVTypes"/>
</file>