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pPr>
      <w:r>
        <w:rPr>
          <w:rFonts w:ascii="Georgia" w:cs="Georgia" w:eastAsia="Georgia" w:hAnsi="Georgia"/>
          <w:b/>
          <w:bCs/>
          <w:color w:val="14213D"/>
          <w:sz w:val="44"/>
          <w:szCs w:val="44"/>
        </w:rPr>
        <w:t xml:space="preserve">Docentenhandleiding — Deel 7 — Docentenhandleiding</w:t>
      </w:r>
    </w:p>
    <w:p>
      <w:pPr>
        <w:spacing w:after="300"/>
      </w:pPr>
      <w:r>
        <w:rPr>
          <w:rFonts w:ascii="Calibri" w:cs="Calibri" w:eastAsia="Calibri" w:hAnsi="Calibri"/>
          <w:i/>
          <w:iCs/>
          <w:color w:val="2563A8"/>
          <w:sz w:val="22"/>
          <w:szCs w:val="22"/>
        </w:rPr>
        <w:t xml:space="preserve">Niveau 1 — Fundament · Nederlandse pensioenverzekering</w:t>
      </w:r>
    </w:p>
    <w:p>
      <w:pPr>
        <w:pStyle w:val="Heading1"/>
        <w:pBdr>
          <w:bottom w:val="single" w:color="14213D" w:sz="12" w:space="4"/>
        </w:pBdr>
        <w:spacing w:after="160" w:before="240"/>
      </w:pPr>
      <w:r>
        <w:rPr>
          <w:rFonts w:ascii="Georgia" w:cs="Georgia" w:eastAsia="Georgia" w:hAnsi="Georgia"/>
          <w:b/>
          <w:bCs/>
          <w:color w:val="14213D"/>
          <w:sz w:val="36"/>
          <w:szCs w:val="36"/>
        </w:rPr>
        <w:t xml:space="preserve">Deel 7 — Docentenhandleiding</w:t>
      </w:r>
    </w:p>
    <w:p>
      <w:pPr>
        <w:spacing w:after="140" w:line="300"/>
      </w:pPr>
      <w:r>
        <w:rPr>
          <w:rFonts w:ascii="Calibri" w:cs="Calibri" w:eastAsia="Calibri" w:hAnsi="Calibri"/>
          <w:b w:val="false"/>
          <w:bCs w:val="false"/>
          <w:i w:val="false"/>
          <w:iCs w:val="false"/>
          <w:sz w:val="22"/>
          <w:szCs w:val="22"/>
        </w:rPr>
        <w:t xml:space="preserve"/>
      </w:r>
      <w:r>
        <w:rPr>
          <w:rFonts w:ascii="Calibri" w:cs="Calibri" w:eastAsia="Calibri" w:hAnsi="Calibri"/>
          <w:b/>
          <w:bCs/>
          <w:i w:val="false"/>
          <w:iCs w:val="false"/>
          <w:sz w:val="22"/>
          <w:szCs w:val="22"/>
        </w:rPr>
        <w:t xml:space="preserve">Niveau 1 · Fundament · Eén dagdeel (3 uur inclusief pauze)</w:t>
      </w:r>
      <w:r>
        <w:rPr>
          <w:rFonts w:ascii="Calibri" w:cs="Calibri" w:eastAsia="Calibri" w:hAnsi="Calibri"/>
          <w:b w:val="false"/>
          <w:bCs w:val="false"/>
          <w:i w:val="false"/>
          <w:iCs w:val="false"/>
          <w:sz w:val="22"/>
          <w:szCs w:val="22"/>
        </w:rPr>
        <w:t xml:space="preserve"/>
      </w:r>
    </w:p>
    <w:p>
      <w:pPr>
        <w:spacing w:after="100"/>
      </w:pPr>
    </w:p>
    <w:p>
      <w:pPr>
        <w:pStyle w:val="Heading2"/>
        <w:spacing w:after="120" w:before="200"/>
      </w:pPr>
      <w:r>
        <w:rPr>
          <w:rFonts w:ascii="Georgia" w:cs="Georgia" w:eastAsia="Georgia" w:hAnsi="Georgia"/>
          <w:b/>
          <w:bCs/>
          <w:color w:val="2563A8"/>
          <w:sz w:val="28"/>
          <w:szCs w:val="28"/>
        </w:rPr>
        <w:t xml:space="preserve">Doel van dit dagdeel</w:t>
      </w:r>
    </w:p>
    <w:p>
      <w:pPr>
        <w:spacing w:after="140" w:line="300"/>
      </w:pPr>
      <w:r>
        <w:rPr>
          <w:rFonts w:ascii="Calibri" w:cs="Calibri" w:eastAsia="Calibri" w:hAnsi="Calibri"/>
          <w:b w:val="false"/>
          <w:bCs w:val="false"/>
          <w:i w:val="false"/>
          <w:iCs w:val="false"/>
          <w:sz w:val="22"/>
          <w:szCs w:val="22"/>
        </w:rPr>
        <w:t xml:space="preserve">Twee dingen:</w:t>
      </w:r>
    </w:p>
    <w:p>
      <w:pPr>
        <w:pStyle w:val="ListParagraph"/>
        <w:numPr>
          <w:ilvl w:val="0"/>
          <w:numId w:val="1"/>
        </w:numPr>
        <w:spacing w:after="80"/>
      </w:pPr>
      <w:r>
        <w:rPr>
          <w:rFonts w:ascii="Calibri" w:cs="Calibri" w:eastAsia="Calibri" w:hAnsi="Calibri"/>
          <w:sz w:val="22"/>
          <w:szCs w:val="22"/>
        </w:rPr>
        <w:t xml:space="preserve">1. Deelnemers kunnen bepalen of er een transitieplanplicht is en wat erin hoort.</w:t>
      </w:r>
    </w:p>
    <w:p>
      <w:pPr>
        <w:pStyle w:val="ListParagraph"/>
        <w:numPr>
          <w:ilvl w:val="0"/>
          <w:numId w:val="1"/>
        </w:numPr>
        <w:spacing w:after="80"/>
      </w:pPr>
      <w:r>
        <w:rPr>
          <w:rFonts w:ascii="Calibri" w:cs="Calibri" w:eastAsia="Calibri" w:hAnsi="Calibri"/>
          <w:sz w:val="22"/>
          <w:szCs w:val="22"/>
        </w:rPr>
        <w:t xml:space="preserve">2. Deelnemers kunnen een compensatievoorstel beoordelen — niet berekenen. Het rekenwerk komt in deel 24; hier gaat het om de vragen die je stelt.</w:t>
      </w:r>
    </w:p>
    <w:p>
      <w:pPr>
        <w:spacing w:after="140" w:line="300"/>
      </w:pPr>
      <w:r>
        <w:rPr>
          <w:rFonts w:ascii="Calibri" w:cs="Calibri" w:eastAsia="Calibri" w:hAnsi="Calibri"/>
          <w:b w:val="false"/>
          <w:bCs w:val="false"/>
          <w:i w:val="false"/>
          <w:iCs w:val="false"/>
          <w:sz w:val="22"/>
          <w:szCs w:val="22"/>
        </w:rPr>
        <w:t xml:space="preserve">De valkuil van dit dagdeel is dat het afglijdt naar een actuariële discussie. Trek die grens hard: als iemand wil weten hoe je het nadeel precies berekent, zeg dan dat dat in niveau 3 komt en dat een adviseur op dit niveau vooral moet kunnen zien of een berekening de goede vragen beantwoordt.</w:t>
      </w:r>
    </w:p>
    <w:p>
      <w:pPr>
        <w:spacing w:after="100"/>
      </w:pPr>
    </w:p>
    <w:p>
      <w:pPr>
        <w:pStyle w:val="Heading2"/>
        <w:spacing w:after="120" w:before="200"/>
      </w:pPr>
      <w:r>
        <w:rPr>
          <w:rFonts w:ascii="Georgia" w:cs="Georgia" w:eastAsia="Georgia" w:hAnsi="Georgia"/>
          <w:b/>
          <w:bCs/>
          <w:color w:val="2563A8"/>
          <w:sz w:val="28"/>
          <w:szCs w:val="28"/>
        </w:rPr>
        <w:t xml:space="preserve">Tijdschema</w:t>
      </w:r>
    </w:p>
    <w:tbl>
      <w:tblPr>
        <w:tblW w:type="pct" w:w="100%"/>
        <w:tblBorders>
          <w:top w:val="single" w:color="CCCCCC" w:sz="2"/>
          <w:left w:val="single" w:color="CCCCCC" w:sz="2"/>
          <w:bottom w:val="single" w:color="CCCCCC" w:sz="2"/>
          <w:right w:val="single" w:color="CCCCCC" w:sz="2"/>
          <w:insideH w:val="single" w:color="CCCCCC" w:sz="2"/>
          <w:insideV w:val="single" w:color="CCCCCC" w:sz="2"/>
        </w:tblBorders>
      </w:tblPr>
      <w:tblGrid>
        <w:gridCol w:w="100"/>
        <w:gridCol w:w="100"/>
        <w:gridCol w:w="100"/>
      </w:tblGrid>
      <w:tr>
        <w:trPr>
          <w:tblHeader/>
        </w:trPr>
        <w:tc>
          <w:tcPr>
            <w:shd w:fill="14213D" w:color="auto" w:val="clear"/>
            <w:tcMar>
              <w:top w:type="dxa" w:w="100"/>
              <w:left w:type="dxa" w:w="120"/>
              <w:bottom w:type="dxa" w:w="100"/>
              <w:right w:type="dxa" w:w="120"/>
            </w:tcMar>
            <w:vAlign w:val="center"/>
          </w:tcPr>
          <w:p>
            <w:r>
              <w:rPr>
                <w:rFonts w:ascii="Calibri" w:cs="Calibri" w:eastAsia="Calibri" w:hAnsi="Calibri"/>
                <w:b/>
                <w:bCs/>
                <w:color w:val="FFFFFF"/>
                <w:sz w:val="20"/>
                <w:szCs w:val="20"/>
              </w:rPr>
              <w:t xml:space="preserve">Tijd</w:t>
            </w:r>
          </w:p>
        </w:tc>
        <w:tc>
          <w:tcPr>
            <w:shd w:fill="14213D" w:color="auto" w:val="clear"/>
            <w:tcMar>
              <w:top w:type="dxa" w:w="100"/>
              <w:left w:type="dxa" w:w="120"/>
              <w:bottom w:type="dxa" w:w="100"/>
              <w:right w:type="dxa" w:w="120"/>
            </w:tcMar>
            <w:vAlign w:val="center"/>
          </w:tcPr>
          <w:p>
            <w:r>
              <w:rPr>
                <w:rFonts w:ascii="Calibri" w:cs="Calibri" w:eastAsia="Calibri" w:hAnsi="Calibri"/>
                <w:b/>
                <w:bCs/>
                <w:color w:val="FFFFFF"/>
                <w:sz w:val="20"/>
                <w:szCs w:val="20"/>
              </w:rPr>
              <w:t xml:space="preserve">Onderdeel</w:t>
            </w:r>
          </w:p>
        </w:tc>
        <w:tc>
          <w:tcPr>
            <w:shd w:fill="14213D" w:color="auto" w:val="clear"/>
            <w:tcMar>
              <w:top w:type="dxa" w:w="100"/>
              <w:left w:type="dxa" w:w="120"/>
              <w:bottom w:type="dxa" w:w="100"/>
              <w:right w:type="dxa" w:w="120"/>
            </w:tcMar>
            <w:vAlign w:val="center"/>
          </w:tcPr>
          <w:p>
            <w:r>
              <w:rPr>
                <w:rFonts w:ascii="Calibri" w:cs="Calibri" w:eastAsia="Calibri" w:hAnsi="Calibri"/>
                <w:b/>
                <w:bCs/>
                <w:color w:val="FFFFFF"/>
                <w:sz w:val="20"/>
                <w:szCs w:val="20"/>
              </w:rPr>
              <w:t xml:space="preserve">Werkvorm</w:t>
            </w:r>
          </w:p>
        </w:tc>
      </w:tr>
      <w:tr>
        <w:tc>
          <w:tcPr>
            <w:tcMar>
              <w:top w:type="dxa" w:w="100"/>
              <w:left w:type="dxa" w:w="120"/>
              <w:bottom w:type="dxa" w:w="100"/>
              <w:right w:type="dxa" w:w="120"/>
            </w:tcMar>
            <w:vAlign w:val="center"/>
          </w:tcPr>
          <w:p>
            <w:r>
              <w:rPr>
                <w:rFonts w:ascii="Calibri" w:cs="Calibri" w:eastAsia="Calibri" w:hAnsi="Calibri"/>
                <w:b w:val="false"/>
                <w:bCs w:val="false"/>
                <w:color w:val="000000"/>
                <w:sz w:val="20"/>
                <w:szCs w:val="20"/>
              </w:rPr>
              <w:t xml:space="preserve">0:00–0:10</w:t>
            </w:r>
          </w:p>
        </w:tc>
        <w:tc>
          <w:tcPr>
            <w:tcMar>
              <w:top w:type="dxa" w:w="100"/>
              <w:left w:type="dxa" w:w="120"/>
              <w:bottom w:type="dxa" w:w="100"/>
              <w:right w:type="dxa" w:w="120"/>
            </w:tcMar>
            <w:vAlign w:val="center"/>
          </w:tcPr>
          <w:p>
            <w:r>
              <w:rPr>
                <w:rFonts w:ascii="Calibri" w:cs="Calibri" w:eastAsia="Calibri" w:hAnsi="Calibri"/>
                <w:b w:val="false"/>
                <w:bCs w:val="false"/>
                <w:color w:val="000000"/>
                <w:sz w:val="20"/>
                <w:szCs w:val="20"/>
              </w:rPr>
              <w:t xml:space="preserve">Terugblik deel 6, de keuze van Ferdi</w:t>
            </w:r>
          </w:p>
        </w:tc>
        <w:tc>
          <w:tcPr>
            <w:tcMar>
              <w:top w:type="dxa" w:w="100"/>
              <w:left w:type="dxa" w:w="120"/>
              <w:bottom w:type="dxa" w:w="100"/>
              <w:right w:type="dxa" w:w="120"/>
            </w:tcMar>
            <w:vAlign w:val="center"/>
          </w:tcPr>
          <w:p>
            <w:r>
              <w:rPr>
                <w:rFonts w:ascii="Calibri" w:cs="Calibri" w:eastAsia="Calibri" w:hAnsi="Calibri"/>
                <w:b w:val="false"/>
                <w:bCs w:val="false"/>
                <w:color w:val="000000"/>
                <w:sz w:val="20"/>
                <w:szCs w:val="20"/>
              </w:rPr>
              <w:t xml:space="preserve">Plenair</w:t>
            </w:r>
          </w:p>
        </w:tc>
      </w:tr>
      <w:tr>
        <w:tc>
          <w:tcPr>
            <w:tcMar>
              <w:top w:type="dxa" w:w="100"/>
              <w:left w:type="dxa" w:w="120"/>
              <w:bottom w:type="dxa" w:w="100"/>
              <w:right w:type="dxa" w:w="120"/>
            </w:tcMar>
            <w:vAlign w:val="center"/>
          </w:tcPr>
          <w:p>
            <w:r>
              <w:rPr>
                <w:rFonts w:ascii="Calibri" w:cs="Calibri" w:eastAsia="Calibri" w:hAnsi="Calibri"/>
                <w:b w:val="false"/>
                <w:bCs w:val="false"/>
                <w:color w:val="000000"/>
                <w:sz w:val="20"/>
                <w:szCs w:val="20"/>
              </w:rPr>
              <w:t xml:space="preserve">0:10–0:35</w:t>
            </w:r>
          </w:p>
        </w:tc>
        <w:tc>
          <w:tcPr>
            <w:tcMar>
              <w:top w:type="dxa" w:w="100"/>
              <w:left w:type="dxa" w:w="120"/>
              <w:bottom w:type="dxa" w:w="100"/>
              <w:right w:type="dxa" w:w="120"/>
            </w:tcMar>
            <w:vAlign w:val="center"/>
          </w:tcPr>
          <w:p>
            <w:r>
              <w:rPr>
                <w:rFonts w:ascii="Calibri" w:cs="Calibri" w:eastAsia="Calibri" w:hAnsi="Calibri"/>
                <w:b w:val="false"/>
                <w:bCs w:val="false"/>
                <w:color w:val="000000"/>
                <w:sz w:val="20"/>
                <w:szCs w:val="20"/>
              </w:rPr>
              <w:t xml:space="preserve">Het transitieplan: plicht, termijn, inhoud</w:t>
            </w:r>
          </w:p>
        </w:tc>
        <w:tc>
          <w:tcPr>
            <w:tcMar>
              <w:top w:type="dxa" w:w="100"/>
              <w:left w:type="dxa" w:w="120"/>
              <w:bottom w:type="dxa" w:w="100"/>
              <w:right w:type="dxa" w:w="120"/>
            </w:tcMar>
            <w:vAlign w:val="center"/>
          </w:tcPr>
          <w:p>
            <w:r>
              <w:rPr>
                <w:rFonts w:ascii="Calibri" w:cs="Calibri" w:eastAsia="Calibri" w:hAnsi="Calibri"/>
                <w:b w:val="false"/>
                <w:bCs w:val="false"/>
                <w:color w:val="000000"/>
                <w:sz w:val="20"/>
                <w:szCs w:val="20"/>
              </w:rPr>
              <w:t xml:space="preserve">College, figuur 7-1</w:t>
            </w:r>
          </w:p>
        </w:tc>
      </w:tr>
      <w:tr>
        <w:tc>
          <w:tcPr>
            <w:tcMar>
              <w:top w:type="dxa" w:w="100"/>
              <w:left w:type="dxa" w:w="120"/>
              <w:bottom w:type="dxa" w:w="100"/>
              <w:right w:type="dxa" w:w="120"/>
            </w:tcMar>
            <w:vAlign w:val="center"/>
          </w:tcPr>
          <w:p>
            <w:r>
              <w:rPr>
                <w:rFonts w:ascii="Calibri" w:cs="Calibri" w:eastAsia="Calibri" w:hAnsi="Calibri"/>
                <w:b w:val="false"/>
                <w:bCs w:val="false"/>
                <w:color w:val="000000"/>
                <w:sz w:val="20"/>
                <w:szCs w:val="20"/>
              </w:rPr>
              <w:t xml:space="preserve">0:35–0:50</w:t>
            </w:r>
          </w:p>
        </w:tc>
        <w:tc>
          <w:tcPr>
            <w:tcMar>
              <w:top w:type="dxa" w:w="100"/>
              <w:left w:type="dxa" w:w="120"/>
              <w:bottom w:type="dxa" w:w="100"/>
              <w:right w:type="dxa" w:w="120"/>
            </w:tcMar>
            <w:vAlign w:val="center"/>
          </w:tcPr>
          <w:p>
            <w:r>
              <w:rPr>
                <w:rFonts w:ascii="Calibri" w:cs="Calibri" w:eastAsia="Calibri" w:hAnsi="Calibri"/>
                <w:b w:val="false"/>
                <w:bCs w:val="false"/>
                <w:color w:val="000000"/>
                <w:sz w:val="20"/>
                <w:szCs w:val="20"/>
              </w:rPr>
              <w:t xml:space="preserve">Opdracht 7.1</w:t>
            </w:r>
          </w:p>
        </w:tc>
        <w:tc>
          <w:tcPr>
            <w:tcMar>
              <w:top w:type="dxa" w:w="100"/>
              <w:left w:type="dxa" w:w="120"/>
              <w:bottom w:type="dxa" w:w="100"/>
              <w:right w:type="dxa" w:w="120"/>
            </w:tcMar>
            <w:vAlign w:val="center"/>
          </w:tcPr>
          <w:p>
            <w:r>
              <w:rPr>
                <w:rFonts w:ascii="Calibri" w:cs="Calibri" w:eastAsia="Calibri" w:hAnsi="Calibri"/>
                <w:b w:val="false"/>
                <w:bCs w:val="false"/>
                <w:color w:val="000000"/>
                <w:sz w:val="20"/>
                <w:szCs w:val="20"/>
              </w:rPr>
              <w:t xml:space="preserve">Duo’s</w:t>
            </w:r>
          </w:p>
        </w:tc>
      </w:tr>
      <w:tr>
        <w:tc>
          <w:tcPr>
            <w:tcMar>
              <w:top w:type="dxa" w:w="100"/>
              <w:left w:type="dxa" w:w="120"/>
              <w:bottom w:type="dxa" w:w="100"/>
              <w:right w:type="dxa" w:w="120"/>
            </w:tcMar>
            <w:vAlign w:val="center"/>
          </w:tcPr>
          <w:p>
            <w:r>
              <w:rPr>
                <w:rFonts w:ascii="Calibri" w:cs="Calibri" w:eastAsia="Calibri" w:hAnsi="Calibri"/>
                <w:b w:val="false"/>
                <w:bCs w:val="false"/>
                <w:color w:val="000000"/>
                <w:sz w:val="20"/>
                <w:szCs w:val="20"/>
              </w:rPr>
              <w:t xml:space="preserve">0:50–1:15</w:t>
            </w:r>
          </w:p>
        </w:tc>
        <w:tc>
          <w:tcPr>
            <w:tcMar>
              <w:top w:type="dxa" w:w="100"/>
              <w:left w:type="dxa" w:w="120"/>
              <w:bottom w:type="dxa" w:w="100"/>
              <w:right w:type="dxa" w:w="120"/>
            </w:tcMar>
            <w:vAlign w:val="center"/>
          </w:tcPr>
          <w:p>
            <w:r>
              <w:rPr>
                <w:rFonts w:ascii="Calibri" w:cs="Calibri" w:eastAsia="Calibri" w:hAnsi="Calibri"/>
                <w:b w:val="false"/>
                <w:bCs w:val="false"/>
                <w:color w:val="000000"/>
                <w:sz w:val="20"/>
                <w:szCs w:val="20"/>
              </w:rPr>
              <w:t xml:space="preserve">De fiscale compensatieruimte + opdracht 7.2</w:t>
            </w:r>
          </w:p>
        </w:tc>
        <w:tc>
          <w:tcPr>
            <w:tcMar>
              <w:top w:type="dxa" w:w="100"/>
              <w:left w:type="dxa" w:w="120"/>
              <w:bottom w:type="dxa" w:w="100"/>
              <w:right w:type="dxa" w:w="120"/>
            </w:tcMar>
            <w:vAlign w:val="center"/>
          </w:tcPr>
          <w:p>
            <w:r>
              <w:rPr>
                <w:rFonts w:ascii="Calibri" w:cs="Calibri" w:eastAsia="Calibri" w:hAnsi="Calibri"/>
                <w:b w:val="false"/>
                <w:bCs w:val="false"/>
                <w:color w:val="000000"/>
                <w:sz w:val="20"/>
                <w:szCs w:val="20"/>
              </w:rPr>
              <w:t xml:space="preserve">College met rekenwerk</w:t>
            </w:r>
          </w:p>
        </w:tc>
      </w:tr>
      <w:tr>
        <w:tc>
          <w:tcPr>
            <w:tcMar>
              <w:top w:type="dxa" w:w="100"/>
              <w:left w:type="dxa" w:w="120"/>
              <w:bottom w:type="dxa" w:w="100"/>
              <w:right w:type="dxa" w:w="120"/>
            </w:tcMar>
            <w:vAlign w:val="center"/>
          </w:tcPr>
          <w:p>
            <w:r>
              <w:rPr>
                <w:rFonts w:ascii="Calibri" w:cs="Calibri" w:eastAsia="Calibri" w:hAnsi="Calibri"/>
                <w:b w:val="false"/>
                <w:bCs w:val="false"/>
                <w:color w:val="000000"/>
                <w:sz w:val="20"/>
                <w:szCs w:val="20"/>
              </w:rPr>
              <w:t xml:space="preserve">1:15–1:30</w:t>
            </w:r>
          </w:p>
        </w:tc>
        <w:tc>
          <w:tcPr>
            <w:tcMar>
              <w:top w:type="dxa" w:w="100"/>
              <w:left w:type="dxa" w:w="120"/>
              <w:bottom w:type="dxa" w:w="100"/>
              <w:right w:type="dxa" w:w="120"/>
            </w:tcMar>
            <w:vAlign w:val="center"/>
          </w:tcPr>
          <w:p>
            <w:r>
              <w:rPr>
                <w:rFonts w:ascii="Calibri" w:cs="Calibri" w:eastAsia="Calibri" w:hAnsi="Calibri"/>
                <w:b w:val="false"/>
                <w:bCs w:val="false"/>
                <w:color w:val="000000"/>
                <w:sz w:val="20"/>
                <w:szCs w:val="20"/>
              </w:rPr>
              <w:t xml:space="preserve">Pauze</w:t>
            </w:r>
          </w:p>
        </w:tc>
        <w:tc>
          <w:tcPr>
            <w:tcMar>
              <w:top w:type="dxa" w:w="100"/>
              <w:left w:type="dxa" w:w="120"/>
              <w:bottom w:type="dxa" w:w="100"/>
              <w:right w:type="dxa" w:w="120"/>
            </w:tcMar>
            <w:vAlign w:val="center"/>
          </w:tcPr>
          <w:p>
            <w:r>
              <w:rPr>
                <w:rFonts w:ascii="Calibri" w:cs="Calibri" w:eastAsia="Calibri" w:hAnsi="Calibri"/>
                <w:b w:val="false"/>
                <w:bCs w:val="false"/>
                <w:color w:val="000000"/>
                <w:sz w:val="20"/>
                <w:szCs w:val="20"/>
              </w:rPr>
              <w:t xml:space="preserve"/>
            </w:r>
          </w:p>
        </w:tc>
      </w:tr>
      <w:tr>
        <w:tc>
          <w:tcPr>
            <w:tcMar>
              <w:top w:type="dxa" w:w="100"/>
              <w:left w:type="dxa" w:w="120"/>
              <w:bottom w:type="dxa" w:w="100"/>
              <w:right w:type="dxa" w:w="120"/>
            </w:tcMar>
            <w:vAlign w:val="center"/>
          </w:tcPr>
          <w:p>
            <w:r>
              <w:rPr>
                <w:rFonts w:ascii="Calibri" w:cs="Calibri" w:eastAsia="Calibri" w:hAnsi="Calibri"/>
                <w:b w:val="false"/>
                <w:bCs w:val="false"/>
                <w:color w:val="000000"/>
                <w:sz w:val="20"/>
                <w:szCs w:val="20"/>
              </w:rPr>
              <w:t xml:space="preserve">1:30–2:00</w:t>
            </w:r>
          </w:p>
        </w:tc>
        <w:tc>
          <w:tcPr>
            <w:tcMar>
              <w:top w:type="dxa" w:w="100"/>
              <w:left w:type="dxa" w:w="120"/>
              <w:bottom w:type="dxa" w:w="100"/>
              <w:right w:type="dxa" w:w="120"/>
            </w:tcMar>
            <w:vAlign w:val="center"/>
          </w:tcPr>
          <w:p>
            <w:r>
              <w:rPr>
                <w:rFonts w:ascii="Calibri" w:cs="Calibri" w:eastAsia="Calibri" w:hAnsi="Calibri"/>
                <w:b w:val="false"/>
                <w:bCs w:val="false"/>
                <w:color w:val="000000"/>
                <w:sz w:val="20"/>
                <w:szCs w:val="20"/>
              </w:rPr>
              <w:t xml:space="preserve">Compensatie beoordelen, opdracht 7.3</w:t>
            </w:r>
          </w:p>
        </w:tc>
        <w:tc>
          <w:tcPr>
            <w:tcMar>
              <w:top w:type="dxa" w:w="100"/>
              <w:left w:type="dxa" w:w="120"/>
              <w:bottom w:type="dxa" w:w="100"/>
              <w:right w:type="dxa" w:w="120"/>
            </w:tcMar>
            <w:vAlign w:val="center"/>
          </w:tcPr>
          <w:p>
            <w:r>
              <w:rPr>
                <w:rFonts w:ascii="Calibri" w:cs="Calibri" w:eastAsia="Calibri" w:hAnsi="Calibri"/>
                <w:b w:val="false"/>
                <w:bCs w:val="false"/>
                <w:color w:val="000000"/>
                <w:sz w:val="20"/>
                <w:szCs w:val="20"/>
              </w:rPr>
              <w:t xml:space="preserve">Drietallen</w:t>
            </w:r>
          </w:p>
        </w:tc>
      </w:tr>
      <w:tr>
        <w:tc>
          <w:tcPr>
            <w:tcMar>
              <w:top w:type="dxa" w:w="100"/>
              <w:left w:type="dxa" w:w="120"/>
              <w:bottom w:type="dxa" w:w="100"/>
              <w:right w:type="dxa" w:w="120"/>
            </w:tcMar>
            <w:vAlign w:val="center"/>
          </w:tcPr>
          <w:p>
            <w:r>
              <w:rPr>
                <w:rFonts w:ascii="Calibri" w:cs="Calibri" w:eastAsia="Calibri" w:hAnsi="Calibri"/>
                <w:b w:val="false"/>
                <w:bCs w:val="false"/>
                <w:color w:val="000000"/>
                <w:sz w:val="20"/>
                <w:szCs w:val="20"/>
              </w:rPr>
              <w:t xml:space="preserve">2:00–2:20</w:t>
            </w:r>
          </w:p>
        </w:tc>
        <w:tc>
          <w:tcPr>
            <w:tcMar>
              <w:top w:type="dxa" w:w="100"/>
              <w:left w:type="dxa" w:w="120"/>
              <w:bottom w:type="dxa" w:w="100"/>
              <w:right w:type="dxa" w:w="120"/>
            </w:tcMar>
            <w:vAlign w:val="center"/>
          </w:tcPr>
          <w:p>
            <w:r>
              <w:rPr>
                <w:rFonts w:ascii="Calibri" w:cs="Calibri" w:eastAsia="Calibri" w:hAnsi="Calibri"/>
                <w:b w:val="false"/>
                <w:bCs w:val="false"/>
                <w:color w:val="000000"/>
                <w:sz w:val="20"/>
                <w:szCs w:val="20"/>
              </w:rPr>
              <w:t xml:space="preserve">Drie begrippen scheiden, opdracht 7.4</w:t>
            </w:r>
          </w:p>
        </w:tc>
        <w:tc>
          <w:tcPr>
            <w:tcMar>
              <w:top w:type="dxa" w:w="100"/>
              <w:left w:type="dxa" w:w="120"/>
              <w:bottom w:type="dxa" w:w="100"/>
              <w:right w:type="dxa" w:w="120"/>
            </w:tcMar>
            <w:vAlign w:val="center"/>
          </w:tcPr>
          <w:p>
            <w:r>
              <w:rPr>
                <w:rFonts w:ascii="Calibri" w:cs="Calibri" w:eastAsia="Calibri" w:hAnsi="Calibri"/>
                <w:b w:val="false"/>
                <w:bCs w:val="false"/>
                <w:color w:val="000000"/>
                <w:sz w:val="20"/>
                <w:szCs w:val="20"/>
              </w:rPr>
              <w:t xml:space="preserve">Plenair</w:t>
            </w:r>
          </w:p>
        </w:tc>
      </w:tr>
      <w:tr>
        <w:tc>
          <w:tcPr>
            <w:tcMar>
              <w:top w:type="dxa" w:w="100"/>
              <w:left w:type="dxa" w:w="120"/>
              <w:bottom w:type="dxa" w:w="100"/>
              <w:right w:type="dxa" w:w="120"/>
            </w:tcMar>
            <w:vAlign w:val="center"/>
          </w:tcPr>
          <w:p>
            <w:r>
              <w:rPr>
                <w:rFonts w:ascii="Calibri" w:cs="Calibri" w:eastAsia="Calibri" w:hAnsi="Calibri"/>
                <w:b w:val="false"/>
                <w:bCs w:val="false"/>
                <w:color w:val="000000"/>
                <w:sz w:val="20"/>
                <w:szCs w:val="20"/>
              </w:rPr>
              <w:t xml:space="preserve">2:20–2:45</w:t>
            </w:r>
          </w:p>
        </w:tc>
        <w:tc>
          <w:tcPr>
            <w:tcMar>
              <w:top w:type="dxa" w:w="100"/>
              <w:left w:type="dxa" w:w="120"/>
              <w:bottom w:type="dxa" w:w="100"/>
              <w:right w:type="dxa" w:w="120"/>
            </w:tcMar>
            <w:vAlign w:val="center"/>
          </w:tcPr>
          <w:p>
            <w:r>
              <w:rPr>
                <w:rFonts w:ascii="Calibri" w:cs="Calibri" w:eastAsia="Calibri" w:hAnsi="Calibri"/>
                <w:b w:val="false"/>
                <w:bCs w:val="false"/>
                <w:color w:val="000000"/>
                <w:sz w:val="20"/>
                <w:szCs w:val="20"/>
              </w:rPr>
              <w:t xml:space="preserve">De drie vragen van de OR, opdracht 7.5</w:t>
            </w:r>
          </w:p>
        </w:tc>
        <w:tc>
          <w:tcPr>
            <w:tcMar>
              <w:top w:type="dxa" w:w="100"/>
              <w:left w:type="dxa" w:w="120"/>
              <w:bottom w:type="dxa" w:w="100"/>
              <w:right w:type="dxa" w:w="120"/>
            </w:tcMar>
            <w:vAlign w:val="center"/>
          </w:tcPr>
          <w:p>
            <w:r>
              <w:rPr>
                <w:rFonts w:ascii="Calibri" w:cs="Calibri" w:eastAsia="Calibri" w:hAnsi="Calibri"/>
                <w:b w:val="false"/>
                <w:bCs w:val="false"/>
                <w:color w:val="000000"/>
                <w:sz w:val="20"/>
                <w:szCs w:val="20"/>
              </w:rPr>
              <w:t xml:space="preserve">Rollenspel</w:t>
            </w:r>
          </w:p>
        </w:tc>
      </w:tr>
      <w:tr>
        <w:tc>
          <w:tcPr>
            <w:tcMar>
              <w:top w:type="dxa" w:w="100"/>
              <w:left w:type="dxa" w:w="120"/>
              <w:bottom w:type="dxa" w:w="100"/>
              <w:right w:type="dxa" w:w="120"/>
            </w:tcMar>
            <w:vAlign w:val="center"/>
          </w:tcPr>
          <w:p>
            <w:r>
              <w:rPr>
                <w:rFonts w:ascii="Calibri" w:cs="Calibri" w:eastAsia="Calibri" w:hAnsi="Calibri"/>
                <w:b w:val="false"/>
                <w:bCs w:val="false"/>
                <w:color w:val="000000"/>
                <w:sz w:val="20"/>
                <w:szCs w:val="20"/>
              </w:rPr>
              <w:t xml:space="preserve">2:45–3:00</w:t>
            </w:r>
          </w:p>
        </w:tc>
        <w:tc>
          <w:tcPr>
            <w:tcMar>
              <w:top w:type="dxa" w:w="100"/>
              <w:left w:type="dxa" w:w="120"/>
              <w:bottom w:type="dxa" w:w="100"/>
              <w:right w:type="dxa" w:w="120"/>
            </w:tcMar>
            <w:vAlign w:val="center"/>
          </w:tcPr>
          <w:p>
            <w:r>
              <w:rPr>
                <w:rFonts w:ascii="Calibri" w:cs="Calibri" w:eastAsia="Calibri" w:hAnsi="Calibri"/>
                <w:b w:val="false"/>
                <w:bCs w:val="false"/>
                <w:color w:val="000000"/>
                <w:sz w:val="20"/>
                <w:szCs w:val="20"/>
              </w:rPr>
              <w:t xml:space="preserve">Tijdlijn (7.6), fonds versus verzekerd, huiswerk</w:t>
            </w:r>
          </w:p>
        </w:tc>
        <w:tc>
          <w:tcPr>
            <w:tcMar>
              <w:top w:type="dxa" w:w="100"/>
              <w:left w:type="dxa" w:w="120"/>
              <w:bottom w:type="dxa" w:w="100"/>
              <w:right w:type="dxa" w:w="120"/>
            </w:tcMar>
            <w:vAlign w:val="center"/>
          </w:tcPr>
          <w:p>
            <w:r>
              <w:rPr>
                <w:rFonts w:ascii="Calibri" w:cs="Calibri" w:eastAsia="Calibri" w:hAnsi="Calibri"/>
                <w:b w:val="false"/>
                <w:bCs w:val="false"/>
                <w:color w:val="000000"/>
                <w:sz w:val="20"/>
                <w:szCs w:val="20"/>
              </w:rPr>
              <w:t xml:space="preserve">Afsluiting</w:t>
            </w:r>
          </w:p>
        </w:tc>
      </w:tr>
    </w:tbl>
    <w:p>
      <w:pPr>
        <w:spacing w:after="100"/>
      </w:pPr>
    </w:p>
    <w:p>
      <w:pPr>
        <w:pStyle w:val="Heading2"/>
        <w:spacing w:after="120" w:before="200"/>
      </w:pPr>
      <w:r>
        <w:rPr>
          <w:rFonts w:ascii="Georgia" w:cs="Georgia" w:eastAsia="Georgia" w:hAnsi="Georgia"/>
          <w:b/>
          <w:bCs/>
          <w:color w:val="2563A8"/>
          <w:sz w:val="28"/>
          <w:szCs w:val="28"/>
        </w:rPr>
        <w:t xml:space="preserve">Aandachtspunten per onderdeel</w:t>
      </w:r>
    </w:p>
    <w:p>
      <w:pPr>
        <w:spacing w:after="140" w:line="300"/>
      </w:pPr>
      <w:r>
        <w:rPr>
          <w:rFonts w:ascii="Calibri" w:cs="Calibri" w:eastAsia="Calibri" w:hAnsi="Calibri"/>
          <w:b w:val="false"/>
          <w:bCs w:val="false"/>
          <w:i w:val="false"/>
          <w:iCs w:val="false"/>
          <w:sz w:val="22"/>
          <w:szCs w:val="22"/>
        </w:rPr>
        <w:t xml:space="preserve"/>
      </w:r>
      <w:r>
        <w:rPr>
          <w:rFonts w:ascii="Calibri" w:cs="Calibri" w:eastAsia="Calibri" w:hAnsi="Calibri"/>
          <w:b/>
          <w:bCs/>
          <w:i w:val="false"/>
          <w:iCs w:val="false"/>
          <w:sz w:val="22"/>
          <w:szCs w:val="22"/>
        </w:rPr>
        <w:t xml:space="preserve">Terugblik.</w:t>
      </w:r>
      <w:r>
        <w:rPr>
          <w:rFonts w:ascii="Calibri" w:cs="Calibri" w:eastAsia="Calibri" w:hAnsi="Calibri"/>
          <w:b w:val="false"/>
          <w:bCs w:val="false"/>
          <w:i w:val="false"/>
          <w:iCs w:val="false"/>
          <w:sz w:val="22"/>
          <w:szCs w:val="22"/>
        </w:rPr>
        <w:t xml:space="preserve"> Vertel dat Ferdi in deze casus optie 2 kiest — géén eerbiedigende werking. Vraag de zaal kort waarom een werkgever daarvoor zou kiezen na alles wat in deel 6 is besproken. Verwachte antwoorden: één regeling, voorspelbare kosten, geen dertigjarige staart, betere positie bij verkoop. Dat zijn goede antwoorden en zij bewijzen dat deel 6 is geland.</w:t>
      </w:r>
    </w:p>
    <w:p>
      <w:pPr>
        <w:spacing w:after="140" w:line="300"/>
      </w:pPr>
      <w:r>
        <w:rPr>
          <w:rFonts w:ascii="Calibri" w:cs="Calibri" w:eastAsia="Calibri" w:hAnsi="Calibri"/>
          <w:b w:val="false"/>
          <w:bCs w:val="false"/>
          <w:i w:val="false"/>
          <w:iCs w:val="false"/>
          <w:sz w:val="22"/>
          <w:szCs w:val="22"/>
        </w:rPr>
        <w:t xml:space="preserve"/>
      </w:r>
      <w:r>
        <w:rPr>
          <w:rFonts w:ascii="Calibri" w:cs="Calibri" w:eastAsia="Calibri" w:hAnsi="Calibri"/>
          <w:b/>
          <w:bCs/>
          <w:i w:val="false"/>
          <w:iCs w:val="false"/>
          <w:sz w:val="22"/>
          <w:szCs w:val="22"/>
        </w:rPr>
        <w:t xml:space="preserve">Transitieplanplicht.</w:t>
      </w:r>
      <w:r>
        <w:rPr>
          <w:rFonts w:ascii="Calibri" w:cs="Calibri" w:eastAsia="Calibri" w:hAnsi="Calibri"/>
          <w:b w:val="false"/>
          <w:bCs w:val="false"/>
          <w:i w:val="false"/>
          <w:iCs w:val="false"/>
          <w:sz w:val="22"/>
          <w:szCs w:val="22"/>
        </w:rPr>
        <w:t xml:space="preserve"> De twee nuances zijn hier het leerpunt, niet de hoofdregel:</w:t>
      </w:r>
    </w:p>
    <w:p>
      <w:pPr>
        <w:pStyle w:val="ListParagraph"/>
        <w:numPr>
          <w:ilvl w:val="0"/>
          <w:numId w:val="1"/>
        </w:numPr>
        <w:spacing w:after="80"/>
      </w:pPr>
      <w:r>
        <w:rPr>
          <w:rFonts w:ascii="Calibri" w:cs="Calibri" w:eastAsia="Calibri" w:hAnsi="Calibri"/>
          <w:sz w:val="22"/>
          <w:szCs w:val="22"/>
        </w:rPr>
        <w:t xml:space="preserve">géén plicht bij eerbiedigende werking, ook al wijzigt het nabestaandenpensioen;</w:t>
      </w:r>
    </w:p>
    <w:p>
      <w:pPr>
        <w:pStyle w:val="ListParagraph"/>
        <w:numPr>
          <w:ilvl w:val="0"/>
          <w:numId w:val="1"/>
        </w:numPr>
        <w:spacing w:after="80"/>
      </w:pPr>
      <w:r>
        <w:rPr>
          <w:rFonts w:ascii="Calibri" w:cs="Calibri" w:eastAsia="Calibri" w:hAnsi="Calibri"/>
          <w:sz w:val="22"/>
          <w:szCs w:val="22"/>
        </w:rPr>
        <w:t xml:space="preserve">wél plicht bij een bestaande vlakke premie als er andere onderdelen moeten worden aangepast.</w:t>
      </w:r>
    </w:p>
    <w:p>
      <w:pPr>
        <w:spacing w:after="140" w:line="300"/>
      </w:pPr>
      <w:r>
        <w:rPr>
          <w:rFonts w:ascii="Calibri" w:cs="Calibri" w:eastAsia="Calibri" w:hAnsi="Calibri"/>
          <w:b w:val="false"/>
          <w:bCs w:val="false"/>
          <w:i w:val="false"/>
          <w:iCs w:val="false"/>
          <w:sz w:val="22"/>
          <w:szCs w:val="22"/>
        </w:rPr>
        <w:t xml:space="preserve">Die tweede verrast bijna iedereen en sluit direct aan op “soort C” uit deel 5. Maak die koppeling expliciet.</w:t>
      </w:r>
    </w:p>
    <w:p>
      <w:pPr>
        <w:spacing w:after="140" w:line="300"/>
      </w:pPr>
      <w:r>
        <w:rPr>
          <w:rFonts w:ascii="Calibri" w:cs="Calibri" w:eastAsia="Calibri" w:hAnsi="Calibri"/>
          <w:b w:val="false"/>
          <w:bCs w:val="false"/>
          <w:i w:val="false"/>
          <w:iCs w:val="false"/>
          <w:sz w:val="22"/>
          <w:szCs w:val="22"/>
        </w:rPr>
        <w:t xml:space="preserve">Bij de termijnen: noem geen datum uit het hoofd. Schrijf </w:t>
      </w:r>
      <w:r>
        <w:rPr>
          <w:rFonts w:ascii="Calibri" w:cs="Calibri" w:eastAsia="Calibri" w:hAnsi="Calibri"/>
          <w:b w:val="false"/>
          <w:bCs w:val="false"/>
          <w:i w:val="false"/>
          <w:iCs w:val="false"/>
          <w:sz w:val="22"/>
          <w:szCs w:val="22"/>
        </w:rPr>
        <w:t xml:space="preserve">[TERMIJN-JAAR]</w:t>
      </w:r>
      <w:r>
        <w:rPr>
          <w:rFonts w:ascii="Calibri" w:cs="Calibri" w:eastAsia="Calibri" w:hAnsi="Calibri"/>
          <w:b w:val="false"/>
          <w:bCs w:val="false"/>
          <w:i w:val="false"/>
          <w:iCs w:val="false"/>
          <w:sz w:val="22"/>
          <w:szCs w:val="22"/>
        </w:rPr>
        <w:t xml:space="preserve"> op de flap en leg uit dat die door de verlenging van de transitieperiode is meegeschoven en dat uitvoerders in de praktijk eerder aanleveren vragen dan de wettelijke uiterste datum. Dat laatste is voor de adviespraktijk relevanter dan het wetsartikel.</w:t>
      </w:r>
    </w:p>
    <w:p>
      <w:pPr>
        <w:spacing w:after="140" w:line="300"/>
      </w:pPr>
      <w:r>
        <w:rPr>
          <w:rFonts w:ascii="Calibri" w:cs="Calibri" w:eastAsia="Calibri" w:hAnsi="Calibri"/>
          <w:b w:val="false"/>
          <w:bCs w:val="false"/>
          <w:i w:val="false"/>
          <w:iCs w:val="false"/>
          <w:sz w:val="22"/>
          <w:szCs w:val="22"/>
        </w:rPr>
        <w:t xml:space="preserve"/>
      </w:r>
      <w:r>
        <w:rPr>
          <w:rFonts w:ascii="Calibri" w:cs="Calibri" w:eastAsia="Calibri" w:hAnsi="Calibri"/>
          <w:b/>
          <w:bCs/>
          <w:i w:val="false"/>
          <w:iCs w:val="false"/>
          <w:sz w:val="22"/>
          <w:szCs w:val="22"/>
        </w:rPr>
        <w:t xml:space="preserve">De fiscale compensatieruimte.</w:t>
      </w:r>
      <w:r>
        <w:rPr>
          <w:rFonts w:ascii="Calibri" w:cs="Calibri" w:eastAsia="Calibri" w:hAnsi="Calibri"/>
          <w:b w:val="false"/>
          <w:bCs w:val="false"/>
          <w:i w:val="false"/>
          <w:iCs w:val="false"/>
          <w:sz w:val="22"/>
          <w:szCs w:val="22"/>
        </w:rPr>
        <w:t xml:space="preserve"> Doe opdracht 7.2 klassikaal op de flap. Het bedrag van ongeveer een ton per jaar uitstel bij een middelgrote werkgever maakt meer indruk dan elk juridisch argument, en het is het beste instrument dat een adviseur heeft tegenover een uitstellende directie.</w:t>
      </w:r>
    </w:p>
    <w:p>
      <w:pPr>
        <w:spacing w:after="140" w:line="300"/>
      </w:pPr>
      <w:r>
        <w:rPr>
          <w:rFonts w:ascii="Calibri" w:cs="Calibri" w:eastAsia="Calibri" w:hAnsi="Calibri"/>
          <w:b w:val="false"/>
          <w:bCs w:val="false"/>
          <w:i w:val="false"/>
          <w:iCs w:val="false"/>
          <w:sz w:val="22"/>
          <w:szCs w:val="22"/>
        </w:rPr>
        <w:t xml:space="preserve">Let op één nuance die je zelf moet aanbrengen: het is </w:t>
      </w:r>
      <w:r>
        <w:rPr>
          <w:rFonts w:ascii="Calibri" w:cs="Calibri" w:eastAsia="Calibri" w:hAnsi="Calibri"/>
          <w:b w:val="false"/>
          <w:bCs w:val="false"/>
          <w:i/>
          <w:iCs/>
          <w:sz w:val="22"/>
          <w:szCs w:val="22"/>
        </w:rPr>
        <w:t xml:space="preserve">ruimte</w:t>
      </w:r>
      <w:r>
        <w:rPr>
          <w:rFonts w:ascii="Calibri" w:cs="Calibri" w:eastAsia="Calibri" w:hAnsi="Calibri"/>
          <w:b w:val="false"/>
          <w:bCs w:val="false"/>
          <w:i w:val="false"/>
          <w:iCs w:val="false"/>
          <w:sz w:val="22"/>
          <w:szCs w:val="22"/>
        </w:rPr>
        <w:t xml:space="preserve">, geen verplichte uitgave. Deelnemers die dit als “het kost je een ton” doorvertellen, worden door een directeur onderuitgehaald.</w:t>
      </w:r>
    </w:p>
    <w:p>
      <w:pPr>
        <w:spacing w:after="140" w:line="300"/>
      </w:pPr>
      <w:r>
        <w:rPr>
          <w:rFonts w:ascii="Calibri" w:cs="Calibri" w:eastAsia="Calibri" w:hAnsi="Calibri"/>
          <w:b w:val="false"/>
          <w:bCs w:val="false"/>
          <w:i w:val="false"/>
          <w:iCs w:val="false"/>
          <w:sz w:val="22"/>
          <w:szCs w:val="22"/>
        </w:rPr>
        <w:t xml:space="preserve">Benoem ook expliciet het verband met deel 6: eerbiedigende werking en compensatie zijn alternatieven. Bij de gesloten groep is er geen nadeel om te compenseren, dus er is ook geen compensatiegrond. Deelnemers proberen soms de twee te stapelen.</w:t>
      </w:r>
    </w:p>
    <w:p>
      <w:pPr>
        <w:spacing w:after="140" w:line="300"/>
      </w:pPr>
      <w:r>
        <w:rPr>
          <w:rFonts w:ascii="Calibri" w:cs="Calibri" w:eastAsia="Calibri" w:hAnsi="Calibri"/>
          <w:b w:val="false"/>
          <w:bCs w:val="false"/>
          <w:i w:val="false"/>
          <w:iCs w:val="false"/>
          <w:sz w:val="22"/>
          <w:szCs w:val="22"/>
        </w:rPr>
        <w:t xml:space="preserve"/>
      </w:r>
      <w:r>
        <w:rPr>
          <w:rFonts w:ascii="Calibri" w:cs="Calibri" w:eastAsia="Calibri" w:hAnsi="Calibri"/>
          <w:b/>
          <w:bCs/>
          <w:i w:val="false"/>
          <w:iCs w:val="false"/>
          <w:sz w:val="22"/>
          <w:szCs w:val="22"/>
        </w:rPr>
        <w:t xml:space="preserve">Opdracht 7.3.</w:t>
      </w:r>
      <w:r>
        <w:rPr>
          <w:rFonts w:ascii="Calibri" w:cs="Calibri" w:eastAsia="Calibri" w:hAnsi="Calibri"/>
          <w:b w:val="false"/>
          <w:bCs w:val="false"/>
          <w:i w:val="false"/>
          <w:iCs w:val="false"/>
          <w:sz w:val="22"/>
          <w:szCs w:val="22"/>
        </w:rPr>
        <w:t xml:space="preserve"> De belangrijkste opdracht van het dagdeel. Laat drietallen alle zeven vragen langslopen en het voorstel schriftelijk beoordelen. Verzamel plenair alleen de punten die zij </w:t>
      </w:r>
      <w:r>
        <w:rPr>
          <w:rFonts w:ascii="Calibri" w:cs="Calibri" w:eastAsia="Calibri" w:hAnsi="Calibri"/>
          <w:b w:val="false"/>
          <w:bCs w:val="false"/>
          <w:i/>
          <w:iCs/>
          <w:sz w:val="22"/>
          <w:szCs w:val="22"/>
        </w:rPr>
        <w:t xml:space="preserve">misten</w:t>
      </w:r>
      <w:r>
        <w:rPr>
          <w:rFonts w:ascii="Calibri" w:cs="Calibri" w:eastAsia="Calibri" w:hAnsi="Calibri"/>
          <w:b w:val="false"/>
          <w:bCs w:val="false"/>
          <w:i w:val="false"/>
          <w:iCs w:val="false"/>
          <w:sz w:val="22"/>
          <w:szCs w:val="22"/>
        </w:rPr>
        <w:t xml:space="preserve">, niet de punten die zij vonden — dat is efficiënter en confronterender.</w:t>
      </w:r>
    </w:p>
    <w:p>
      <w:pPr>
        <w:spacing w:after="140" w:line="300"/>
      </w:pPr>
      <w:r>
        <w:rPr>
          <w:rFonts w:ascii="Calibri" w:cs="Calibri" w:eastAsia="Calibri" w:hAnsi="Calibri"/>
          <w:b w:val="false"/>
          <w:bCs w:val="false"/>
          <w:i w:val="false"/>
          <w:iCs w:val="false"/>
          <w:sz w:val="22"/>
          <w:szCs w:val="22"/>
        </w:rPr>
        <w:t xml:space="preserve">De kernboodschap:</w:t>
      </w:r>
    </w:p>
    <w:tbl>
      <w:tblPr>
        <w:tblW w:type="pct" w:w="100%"/>
        <w:tblBorders>
          <w:top w:val="single" w:color="F2F2F2" w:sz="2"/>
          <w:left w:val="single" w:color="2563A8" w:sz="36"/>
          <w:bottom w:val="single" w:color="F2F2F2" w:sz="2"/>
          <w:right w:val="single" w:color="F2F2F2" w:sz="2"/>
          <w:insideH w:val="single" w:color="auto" w:sz="4"/>
          <w:insideV w:val="single" w:color="auto" w:sz="4"/>
        </w:tblBorders>
      </w:tblPr>
      <w:tblGrid>
        <w:gridCol w:w="100"/>
      </w:tblGrid>
      <w:tr>
        <w:tc>
          <w:tcPr>
            <w:shd w:fill="F2F2F2" w:color="auto" w:val="clear"/>
            <w:tcMar>
              <w:top w:type="dxa" w:w="160"/>
              <w:left w:type="dxa" w:w="220"/>
              <w:bottom w:type="dxa" w:w="160"/>
              <w:right w:type="dxa" w:w="220"/>
            </w:tcMar>
          </w:tcPr>
          <w:p>
            <w:pPr>
              <w:spacing w:after="100" w:line="280"/>
            </w:pPr>
            <w:r>
              <w:rPr>
                <w:rFonts w:ascii="Calibri" w:cs="Calibri" w:eastAsia="Calibri" w:hAnsi="Calibri"/>
                <w:i/>
                <w:iCs/>
                <w:sz w:val="22"/>
                <w:szCs w:val="22"/>
              </w:rPr>
              <w:t xml:space="preserve">Dit is geen compensatievoorstel, dit is een compensatiebedrag.</w:t>
            </w:r>
          </w:p>
        </w:tc>
      </w:tr>
    </w:tbl>
    <w:p>
      <w:pPr>
        <w:spacing w:after="140" w:line="300"/>
      </w:pPr>
      <w:r>
        <w:rPr>
          <w:rFonts w:ascii="Calibri" w:cs="Calibri" w:eastAsia="Calibri" w:hAnsi="Calibri"/>
          <w:b w:val="false"/>
          <w:bCs w:val="false"/>
          <w:i w:val="false"/>
          <w:iCs w:val="false"/>
          <w:sz w:val="22"/>
          <w:szCs w:val="22"/>
        </w:rPr>
        <w:t xml:space="preserve">Het verschil zit in de redenering. Deelnemers die in hun praktijk voorstellen beoordelen, gaan dit onderscheid dagelijks gebruiken.</w:t>
      </w:r>
    </w:p>
    <w:p>
      <w:pPr>
        <w:spacing w:after="140" w:line="300"/>
      </w:pPr>
      <w:r>
        <w:rPr>
          <w:rFonts w:ascii="Calibri" w:cs="Calibri" w:eastAsia="Calibri" w:hAnsi="Calibri"/>
          <w:b w:val="false"/>
          <w:bCs w:val="false"/>
          <w:i w:val="false"/>
          <w:iCs w:val="false"/>
          <w:sz w:val="22"/>
          <w:szCs w:val="22"/>
        </w:rPr>
        <w:t xml:space="preserve"/>
      </w:r>
      <w:r>
        <w:rPr>
          <w:rFonts w:ascii="Calibri" w:cs="Calibri" w:eastAsia="Calibri" w:hAnsi="Calibri"/>
          <w:b/>
          <w:bCs/>
          <w:i w:val="false"/>
          <w:iCs w:val="false"/>
          <w:sz w:val="22"/>
          <w:szCs w:val="22"/>
        </w:rPr>
        <w:t xml:space="preserve">Opdracht 7.4.</w:t>
      </w:r>
      <w:r>
        <w:rPr>
          <w:rFonts w:ascii="Calibri" w:cs="Calibri" w:eastAsia="Calibri" w:hAnsi="Calibri"/>
          <w:b w:val="false"/>
          <w:bCs w:val="false"/>
          <w:i w:val="false"/>
          <w:iCs w:val="false"/>
          <w:sz w:val="22"/>
          <w:szCs w:val="22"/>
        </w:rPr>
        <w:t xml:space="preserve"> Kort en strak, tien minuten. De vervolgvraag is het echte leerpunt: alleen situatie c zou een deelnemer zelf opmerken. De andere drie moeten in het transitieplan worden verantwoord omdat er verder niemand naar kijkt. Dat legitimeert het hele document.</w:t>
      </w:r>
    </w:p>
    <w:p>
      <w:pPr>
        <w:spacing w:after="140" w:line="300"/>
      </w:pPr>
      <w:r>
        <w:rPr>
          <w:rFonts w:ascii="Calibri" w:cs="Calibri" w:eastAsia="Calibri" w:hAnsi="Calibri"/>
          <w:b w:val="false"/>
          <w:bCs w:val="false"/>
          <w:i w:val="false"/>
          <w:iCs w:val="false"/>
          <w:sz w:val="22"/>
          <w:szCs w:val="22"/>
        </w:rPr>
        <w:t xml:space="preserve"/>
      </w:r>
      <w:r>
        <w:rPr>
          <w:rFonts w:ascii="Calibri" w:cs="Calibri" w:eastAsia="Calibri" w:hAnsi="Calibri"/>
          <w:b/>
          <w:bCs/>
          <w:i w:val="false"/>
          <w:iCs w:val="false"/>
          <w:sz w:val="22"/>
          <w:szCs w:val="22"/>
        </w:rPr>
        <w:t xml:space="preserve">Rollenspel OR (7.5).</w:t>
      </w:r>
      <w:r>
        <w:rPr>
          <w:rFonts w:ascii="Calibri" w:cs="Calibri" w:eastAsia="Calibri" w:hAnsi="Calibri"/>
          <w:b w:val="false"/>
          <w:bCs w:val="false"/>
          <w:i w:val="false"/>
          <w:iCs w:val="false"/>
          <w:sz w:val="22"/>
          <w:szCs w:val="22"/>
        </w:rPr>
        <w:t xml:space="preserve"> Zet één deelnemer als adviseur tegenover twee OR-leden. Geef de OR-leden de instructie om door te vragen tot ze een echt antwoord krijgen. Het te vermijden gedrag is duidelijk: “de wet schrijft voor dat”. Bespreek na afloop welke formuleringen wél werkten.</w:t>
      </w:r>
    </w:p>
    <w:p>
      <w:pPr>
        <w:spacing w:after="140" w:line="300"/>
      </w:pPr>
      <w:r>
        <w:rPr>
          <w:rFonts w:ascii="Calibri" w:cs="Calibri" w:eastAsia="Calibri" w:hAnsi="Calibri"/>
          <w:b w:val="false"/>
          <w:bCs w:val="false"/>
          <w:i w:val="false"/>
          <w:iCs w:val="false"/>
          <w:sz w:val="22"/>
          <w:szCs w:val="22"/>
        </w:rPr>
        <w:t xml:space="preserve">Het zinnetje dat je wilt horen: </w:t>
      </w:r>
      <w:r>
        <w:rPr>
          <w:rFonts w:ascii="Calibri" w:cs="Calibri" w:eastAsia="Calibri" w:hAnsi="Calibri"/>
          <w:b w:val="false"/>
          <w:bCs w:val="false"/>
          <w:i/>
          <w:iCs/>
          <w:sz w:val="22"/>
          <w:szCs w:val="22"/>
        </w:rPr>
        <w:t xml:space="preserve">“Ik ga niet doen alsof niemand erop achteruitgaat.”</w:t>
      </w:r>
      <w:r>
        <w:rPr>
          <w:rFonts w:ascii="Calibri" w:cs="Calibri" w:eastAsia="Calibri" w:hAnsi="Calibri"/>
          <w:b w:val="false"/>
          <w:bCs w:val="false"/>
          <w:i w:val="false"/>
          <w:iCs w:val="false"/>
          <w:sz w:val="22"/>
          <w:szCs w:val="22"/>
        </w:rPr>
        <w:t xml:space="preserve"> Als een deelnemer dat zegt, benoem het — eerlijkheid over verlies is in transitiegesprekken effectiever dan geruststelling, en dat inzicht komt in niveau 3 terug bij ethiek en communicatie.</w:t>
      </w:r>
    </w:p>
    <w:p>
      <w:pPr>
        <w:spacing w:after="140" w:line="300"/>
      </w:pPr>
      <w:r>
        <w:rPr>
          <w:rFonts w:ascii="Calibri" w:cs="Calibri" w:eastAsia="Calibri" w:hAnsi="Calibri"/>
          <w:b w:val="false"/>
          <w:bCs w:val="false"/>
          <w:i w:val="false"/>
          <w:iCs w:val="false"/>
          <w:sz w:val="22"/>
          <w:szCs w:val="22"/>
        </w:rPr>
        <w:t xml:space="preserve"/>
      </w:r>
      <w:r>
        <w:rPr>
          <w:rFonts w:ascii="Calibri" w:cs="Calibri" w:eastAsia="Calibri" w:hAnsi="Calibri"/>
          <w:b/>
          <w:bCs/>
          <w:i w:val="false"/>
          <w:iCs w:val="false"/>
          <w:sz w:val="22"/>
          <w:szCs w:val="22"/>
        </w:rPr>
        <w:t xml:space="preserve">Tijdlijn (7.6).</w:t>
      </w:r>
      <w:r>
        <w:rPr>
          <w:rFonts w:ascii="Calibri" w:cs="Calibri" w:eastAsia="Calibri" w:hAnsi="Calibri"/>
          <w:b w:val="false"/>
          <w:bCs w:val="false"/>
          <w:i w:val="false"/>
          <w:iCs w:val="false"/>
          <w:sz w:val="22"/>
          <w:szCs w:val="22"/>
        </w:rPr>
        <w:t xml:space="preserve"> Sluit af met de harde datum. 30 juni 2026 staat sinds deel 2 op de flap; laat de groep zelf constateren dat het compensatiegesprek daarvóór moet plaatsvinden, niet erna. Compensatie is een beginpunt, geen eindgesprek.</w:t>
      </w:r>
    </w:p>
    <w:p>
      <w:pPr>
        <w:spacing w:after="100"/>
      </w:pPr>
    </w:p>
    <w:p>
      <w:pPr>
        <w:pStyle w:val="Heading2"/>
        <w:spacing w:after="120" w:before="200"/>
      </w:pPr>
      <w:r>
        <w:rPr>
          <w:rFonts w:ascii="Georgia" w:cs="Georgia" w:eastAsia="Georgia" w:hAnsi="Georgia"/>
          <w:b/>
          <w:bCs/>
          <w:color w:val="2563A8"/>
          <w:sz w:val="28"/>
          <w:szCs w:val="28"/>
        </w:rPr>
        <w:t xml:space="preserve">Veelgestelde vragen</w:t>
      </w:r>
    </w:p>
    <w:p>
      <w:pPr>
        <w:spacing w:after="140" w:line="300"/>
      </w:pPr>
      <w:r>
        <w:rPr>
          <w:rFonts w:ascii="Calibri" w:cs="Calibri" w:eastAsia="Calibri" w:hAnsi="Calibri"/>
          <w:b w:val="false"/>
          <w:bCs w:val="false"/>
          <w:i w:val="false"/>
          <w:iCs w:val="false"/>
          <w:sz w:val="22"/>
          <w:szCs w:val="22"/>
        </w:rPr>
        <w:t xml:space="preserve"/>
      </w:r>
      <w:r>
        <w:rPr>
          <w:rFonts w:ascii="Calibri" w:cs="Calibri" w:eastAsia="Calibri" w:hAnsi="Calibri"/>
          <w:b/>
          <w:bCs/>
          <w:i w:val="false"/>
          <w:iCs w:val="false"/>
          <w:sz w:val="22"/>
          <w:szCs w:val="22"/>
        </w:rPr>
        <w:t xml:space="preserve">“Is compensatie verplicht?”</w:t>
      </w:r>
      <w:r>
        <w:rPr>
          <w:rFonts w:ascii="Calibri" w:cs="Calibri" w:eastAsia="Calibri" w:hAnsi="Calibri"/>
          <w:b w:val="false"/>
          <w:bCs w:val="false"/>
          <w:i w:val="false"/>
          <w:iCs w:val="false"/>
          <w:sz w:val="22"/>
          <w:szCs w:val="22"/>
        </w:rPr>
        <w:t xml:space="preserve"/>
      </w:r>
      <w:r>
        <w:rPr>
          <w:rFonts w:ascii="Calibri" w:cs="Calibri" w:eastAsia="Calibri" w:hAnsi="Calibri"/>
          <w:sz w:val="22"/>
          <w:szCs w:val="22"/>
        </w:rPr>
        <w:t xml:space="preserve"> </w:t>
      </w:r>
      <w:r>
        <w:rPr>
          <w:rFonts w:ascii="Calibri" w:cs="Calibri" w:eastAsia="Calibri" w:hAnsi="Calibri"/>
          <w:b w:val="false"/>
          <w:bCs w:val="false"/>
          <w:i w:val="false"/>
          <w:iCs w:val="false"/>
          <w:sz w:val="22"/>
          <w:szCs w:val="22"/>
        </w:rPr>
        <w:t xml:space="preserve">Nee, er is geen wettelijk recht op compensatie. Wel geldt dat de uitkomst van de transitie verdedigbaar moet zijn en, waar van toepassing, evenwichtig — en dat wijziging van een arbeidsvoorwaarde instemming vergt. In de praktijk is compensatie daardoor vaak de prijs van draagvlak, niet van de wet.</w:t>
      </w:r>
    </w:p>
    <w:p>
      <w:pPr>
        <w:spacing w:after="140" w:line="300"/>
      </w:pPr>
      <w:r>
        <w:rPr>
          <w:rFonts w:ascii="Calibri" w:cs="Calibri" w:eastAsia="Calibri" w:hAnsi="Calibri"/>
          <w:b w:val="false"/>
          <w:bCs w:val="false"/>
          <w:i w:val="false"/>
          <w:iCs w:val="false"/>
          <w:sz w:val="22"/>
          <w:szCs w:val="22"/>
        </w:rPr>
        <w:t xml:space="preserve"/>
      </w:r>
      <w:r>
        <w:rPr>
          <w:rFonts w:ascii="Calibri" w:cs="Calibri" w:eastAsia="Calibri" w:hAnsi="Calibri"/>
          <w:b/>
          <w:bCs/>
          <w:i w:val="false"/>
          <w:iCs w:val="false"/>
          <w:sz w:val="22"/>
          <w:szCs w:val="22"/>
        </w:rPr>
        <w:t xml:space="preserve">“Mag compensatie ook in geld, buiten pensioen om?”</w:t>
      </w:r>
      <w:r>
        <w:rPr>
          <w:rFonts w:ascii="Calibri" w:cs="Calibri" w:eastAsia="Calibri" w:hAnsi="Calibri"/>
          <w:b w:val="false"/>
          <w:bCs w:val="false"/>
          <w:i w:val="false"/>
          <w:iCs w:val="false"/>
          <w:sz w:val="22"/>
          <w:szCs w:val="22"/>
        </w:rPr>
        <w:t xml:space="preserve"/>
      </w:r>
      <w:r>
        <w:rPr>
          <w:rFonts w:ascii="Calibri" w:cs="Calibri" w:eastAsia="Calibri" w:hAnsi="Calibri"/>
          <w:sz w:val="22"/>
          <w:szCs w:val="22"/>
        </w:rPr>
        <w:t xml:space="preserve"> </w:t>
      </w:r>
      <w:r>
        <w:rPr>
          <w:rFonts w:ascii="Calibri" w:cs="Calibri" w:eastAsia="Calibri" w:hAnsi="Calibri"/>
          <w:b w:val="false"/>
          <w:bCs w:val="false"/>
          <w:i w:val="false"/>
          <w:iCs w:val="false"/>
          <w:sz w:val="22"/>
          <w:szCs w:val="22"/>
        </w:rPr>
        <w:t xml:space="preserve">Denkbaar, maar met nadelen: het geld verlaat de pensioenbestemming, de fiscale faciliteit vervalt en het doel wordt niet noodzakelijk bereikt. Uitgangspunt is compensatie binnen de arbeidsvoorwaarde pensioen.</w:t>
      </w:r>
    </w:p>
    <w:p>
      <w:pPr>
        <w:spacing w:after="140" w:line="300"/>
      </w:pPr>
      <w:r>
        <w:rPr>
          <w:rFonts w:ascii="Calibri" w:cs="Calibri" w:eastAsia="Calibri" w:hAnsi="Calibri"/>
          <w:b w:val="false"/>
          <w:bCs w:val="false"/>
          <w:i w:val="false"/>
          <w:iCs w:val="false"/>
          <w:sz w:val="22"/>
          <w:szCs w:val="22"/>
        </w:rPr>
        <w:t xml:space="preserve"/>
      </w:r>
      <w:r>
        <w:rPr>
          <w:rFonts w:ascii="Calibri" w:cs="Calibri" w:eastAsia="Calibri" w:hAnsi="Calibri"/>
          <w:b/>
          <w:bCs/>
          <w:i w:val="false"/>
          <w:iCs w:val="false"/>
          <w:sz w:val="22"/>
          <w:szCs w:val="22"/>
        </w:rPr>
        <w:t xml:space="preserve">“Wat als de werkgever gewoon niets compenseert?”</w:t>
      </w:r>
      <w:r>
        <w:rPr>
          <w:rFonts w:ascii="Calibri" w:cs="Calibri" w:eastAsia="Calibri" w:hAnsi="Calibri"/>
          <w:b w:val="false"/>
          <w:bCs w:val="false"/>
          <w:i w:val="false"/>
          <w:iCs w:val="false"/>
          <w:sz w:val="22"/>
          <w:szCs w:val="22"/>
        </w:rPr>
        <w:t xml:space="preserve"/>
      </w:r>
      <w:r>
        <w:rPr>
          <w:rFonts w:ascii="Calibri" w:cs="Calibri" w:eastAsia="Calibri" w:hAnsi="Calibri"/>
          <w:sz w:val="22"/>
          <w:szCs w:val="22"/>
        </w:rPr>
        <w:t xml:space="preserve"> </w:t>
      </w:r>
      <w:r>
        <w:rPr>
          <w:rFonts w:ascii="Calibri" w:cs="Calibri" w:eastAsia="Calibri" w:hAnsi="Calibri"/>
          <w:b w:val="false"/>
          <w:bCs w:val="false"/>
          <w:i w:val="false"/>
          <w:iCs w:val="false"/>
          <w:sz w:val="22"/>
          <w:szCs w:val="22"/>
        </w:rPr>
        <w:t xml:space="preserve">Dat kan, en het gebeurt. De vraag verschuift dan naar het arbeidsvoorwaardelijke traject: krijgt hij instemming, en houdt de wijziging stand als iemand haar aanvecht? Dat is deel 22.</w:t>
      </w:r>
    </w:p>
    <w:p>
      <w:pPr>
        <w:spacing w:after="140" w:line="300"/>
      </w:pPr>
      <w:r>
        <w:rPr>
          <w:rFonts w:ascii="Calibri" w:cs="Calibri" w:eastAsia="Calibri" w:hAnsi="Calibri"/>
          <w:b w:val="false"/>
          <w:bCs w:val="false"/>
          <w:i w:val="false"/>
          <w:iCs w:val="false"/>
          <w:sz w:val="22"/>
          <w:szCs w:val="22"/>
        </w:rPr>
        <w:t xml:space="preserve"/>
      </w:r>
      <w:r>
        <w:rPr>
          <w:rFonts w:ascii="Calibri" w:cs="Calibri" w:eastAsia="Calibri" w:hAnsi="Calibri"/>
          <w:b/>
          <w:bCs/>
          <w:i w:val="false"/>
          <w:iCs w:val="false"/>
          <w:sz w:val="22"/>
          <w:szCs w:val="22"/>
        </w:rPr>
        <w:t xml:space="preserve">“Wat gebeurt er na 2037?”</w:t>
      </w:r>
      <w:r>
        <w:rPr>
          <w:rFonts w:ascii="Calibri" w:cs="Calibri" w:eastAsia="Calibri" w:hAnsi="Calibri"/>
          <w:b w:val="false"/>
          <w:bCs w:val="false"/>
          <w:i w:val="false"/>
          <w:iCs w:val="false"/>
          <w:sz w:val="22"/>
          <w:szCs w:val="22"/>
        </w:rPr>
        <w:t xml:space="preserve"/>
      </w:r>
      <w:r>
        <w:rPr>
          <w:rFonts w:ascii="Calibri" w:cs="Calibri" w:eastAsia="Calibri" w:hAnsi="Calibri"/>
          <w:sz w:val="22"/>
          <w:szCs w:val="22"/>
        </w:rPr>
        <w:t xml:space="preserve"> </w:t>
      </w:r>
      <w:r>
        <w:rPr>
          <w:rFonts w:ascii="Calibri" w:cs="Calibri" w:eastAsia="Calibri" w:hAnsi="Calibri"/>
          <w:b w:val="false"/>
          <w:bCs w:val="false"/>
          <w:i w:val="false"/>
          <w:iCs w:val="false"/>
          <w:sz w:val="22"/>
          <w:szCs w:val="22"/>
        </w:rPr>
        <w:t xml:space="preserve">De aanvullende fiscale ruimte vervalt. Compensatieafspraken die daarna nog zouden doorlopen, moeten uit de reguliere ruimte of uit een andere bron komen. Dit hoort in het transitieplan te staan; in de praktijk staat het er vaak niet.</w:t>
      </w:r>
    </w:p>
    <w:p>
      <w:pPr>
        <w:spacing w:after="140" w:line="300"/>
      </w:pPr>
      <w:r>
        <w:rPr>
          <w:rFonts w:ascii="Calibri" w:cs="Calibri" w:eastAsia="Calibri" w:hAnsi="Calibri"/>
          <w:b w:val="false"/>
          <w:bCs w:val="false"/>
          <w:i w:val="false"/>
          <w:iCs w:val="false"/>
          <w:sz w:val="22"/>
          <w:szCs w:val="22"/>
        </w:rPr>
        <w:t xml:space="preserve"/>
      </w:r>
      <w:r>
        <w:rPr>
          <w:rFonts w:ascii="Calibri" w:cs="Calibri" w:eastAsia="Calibri" w:hAnsi="Calibri"/>
          <w:b/>
          <w:bCs/>
          <w:i w:val="false"/>
          <w:iCs w:val="false"/>
          <w:sz w:val="22"/>
          <w:szCs w:val="22"/>
        </w:rPr>
        <w:t xml:space="preserve">“Slapers en gepensioneerden dan?”</w:t>
      </w:r>
      <w:r>
        <w:rPr>
          <w:rFonts w:ascii="Calibri" w:cs="Calibri" w:eastAsia="Calibri" w:hAnsi="Calibri"/>
          <w:b w:val="false"/>
          <w:bCs w:val="false"/>
          <w:i w:val="false"/>
          <w:iCs w:val="false"/>
          <w:sz w:val="22"/>
          <w:szCs w:val="22"/>
        </w:rPr>
        <w:t xml:space="preserve"/>
      </w:r>
      <w:r>
        <w:rPr>
          <w:rFonts w:ascii="Calibri" w:cs="Calibri" w:eastAsia="Calibri" w:hAnsi="Calibri"/>
          <w:sz w:val="22"/>
          <w:szCs w:val="22"/>
        </w:rPr>
        <w:t xml:space="preserve"> </w:t>
      </w:r>
      <w:r>
        <w:rPr>
          <w:rFonts w:ascii="Calibri" w:cs="Calibri" w:eastAsia="Calibri" w:hAnsi="Calibri"/>
          <w:b w:val="false"/>
          <w:bCs w:val="false"/>
          <w:i w:val="false"/>
          <w:iCs w:val="false"/>
          <w:sz w:val="22"/>
          <w:szCs w:val="22"/>
        </w:rPr>
        <w:t xml:space="preserve">Bij een verzekerde regeling raakt de wijziging van de premiesystematiek hen niet — hun aanspraken staan al vast. Bij een fonds dat invaart wél, en dan is hun positie onderdeel van de evenwichtigheidsafweging. Dit is opnieuw een plek waar de twee werelden uiteenlopen.</w:t>
      </w:r>
    </w:p>
    <w:p>
      <w:pPr>
        <w:spacing w:after="100"/>
      </w:pPr>
    </w:p>
    <w:p>
      <w:pPr>
        <w:pStyle w:val="Heading2"/>
        <w:spacing w:after="120" w:before="200"/>
      </w:pPr>
      <w:r>
        <w:rPr>
          <w:rFonts w:ascii="Georgia" w:cs="Georgia" w:eastAsia="Georgia" w:hAnsi="Georgia"/>
          <w:b/>
          <w:bCs/>
          <w:color w:val="2563A8"/>
          <w:sz w:val="28"/>
          <w:szCs w:val="28"/>
        </w:rPr>
        <w:t xml:space="preserve">Voorbereiding en materiaal</w:t>
      </w:r>
    </w:p>
    <w:p>
      <w:pPr>
        <w:pStyle w:val="ListParagraph"/>
        <w:numPr>
          <w:ilvl w:val="0"/>
          <w:numId w:val="1"/>
        </w:numPr>
        <w:spacing w:after="80"/>
      </w:pPr>
      <w:r>
        <w:rPr>
          <w:rFonts w:ascii="Calibri" w:cs="Calibri" w:eastAsia="Calibri" w:hAnsi="Calibri"/>
          <w:sz w:val="22"/>
          <w:szCs w:val="22"/>
        </w:rPr>
        <w:t xml:space="preserve">Flap met de zeven beoordelingsvragen, blijft hangen tot en met deel 10</w:t>
      </w:r>
    </w:p>
    <w:p>
      <w:pPr>
        <w:pStyle w:val="ListParagraph"/>
        <w:numPr>
          <w:ilvl w:val="0"/>
          <w:numId w:val="1"/>
        </w:numPr>
        <w:spacing w:after="80"/>
      </w:pPr>
      <w:r>
        <w:rPr>
          <w:rFonts w:ascii="Calibri" w:cs="Calibri" w:eastAsia="Calibri" w:hAnsi="Calibri"/>
          <w:sz w:val="22"/>
          <w:szCs w:val="22"/>
        </w:rPr>
        <w:t xml:space="preserve">Rekenblad voor opdracht 7.2, met de loonsom van Van Doorn ingevuld</w:t>
      </w:r>
    </w:p>
    <w:p>
      <w:pPr>
        <w:pStyle w:val="ListParagraph"/>
        <w:numPr>
          <w:ilvl w:val="0"/>
          <w:numId w:val="1"/>
        </w:numPr>
        <w:spacing w:after="80"/>
      </w:pPr>
      <w:r>
        <w:rPr>
          <w:rFonts w:ascii="Calibri" w:cs="Calibri" w:eastAsia="Calibri" w:hAnsi="Calibri"/>
          <w:sz w:val="22"/>
          <w:szCs w:val="22"/>
        </w:rPr>
        <w:t xml:space="preserve">Rolkaartjes voor het OR-rollenspel</w:t>
      </w:r>
    </w:p>
    <w:p>
      <w:pPr>
        <w:pStyle w:val="ListParagraph"/>
        <w:numPr>
          <w:ilvl w:val="0"/>
          <w:numId w:val="1"/>
        </w:numPr>
        <w:spacing w:after="80"/>
      </w:pPr>
      <w:r>
        <w:rPr>
          <w:rFonts w:ascii="Calibri" w:cs="Calibri" w:eastAsia="Calibri" w:hAnsi="Calibri"/>
          <w:sz w:val="22"/>
          <w:szCs w:val="22"/>
        </w:rPr>
        <w:t xml:space="preserve">Optioneel en zeer effectief: een geanonimiseerd, echt transitieplan om te laten circuleren. Deelnemers zien dan hoe dun de onderbouwing van de evenwichtigheid in de praktijk vaak is</w:t>
      </w:r>
    </w:p>
    <w:p>
      <w:pPr>
        <w:pStyle w:val="ListParagraph"/>
        <w:numPr>
          <w:ilvl w:val="0"/>
          <w:numId w:val="1"/>
        </w:numPr>
        <w:spacing w:after="80"/>
      </w:pPr>
      <w:r>
        <w:rPr>
          <w:rFonts w:ascii="Calibri" w:cs="Calibri" w:eastAsia="Calibri" w:hAnsi="Calibri"/>
          <w:sz w:val="22"/>
          <w:szCs w:val="22"/>
        </w:rPr>
        <w:t xml:space="preserve">Actualiteitencheck: de termijn voor indiening bij verzekeraars en PPI’s, en de actuele premiegrens</w:t>
      </w:r>
    </w:p>
    <w:p>
      <w:pPr>
        <w:spacing w:after="140" w:line="300"/>
      </w:pPr>
      <w:r>
        <w:rPr>
          <w:rFonts w:ascii="Calibri" w:cs="Calibri" w:eastAsia="Calibri" w:hAnsi="Calibri"/>
          <w:b w:val="false"/>
          <w:bCs w:val="false"/>
          <w:i w:val="false"/>
          <w:iCs w:val="false"/>
          <w:sz w:val="22"/>
          <w:szCs w:val="22"/>
        </w:rPr>
        <w:t xml:space="preserve"/>
      </w:r>
      <w:r>
        <w:rPr>
          <w:rFonts w:ascii="Calibri" w:cs="Calibri" w:eastAsia="Calibri" w:hAnsi="Calibri"/>
          <w:b/>
          <w:bCs/>
          <w:i w:val="false"/>
          <w:iCs w:val="false"/>
          <w:sz w:val="22"/>
          <w:szCs w:val="22"/>
        </w:rPr>
        <w:t xml:space="preserve">Huiswerk:</w:t>
      </w:r>
      <w:r>
        <w:rPr>
          <w:rFonts w:ascii="Calibri" w:cs="Calibri" w:eastAsia="Calibri" w:hAnsi="Calibri"/>
          <w:b w:val="false"/>
          <w:bCs w:val="false"/>
          <w:i w:val="false"/>
          <w:iCs w:val="false"/>
          <w:sz w:val="22"/>
          <w:szCs w:val="22"/>
        </w:rPr>
        <w:t xml:space="preserve"> opdracht 7.8. Kondig aan dat deel 8 het onderwerp behandelt dat in deel 5, 6 en 7 steeds terugkwam als “moet hoe dan ook om”: de risicodekkingen. Zeg erbij dat dat voor sommige gezinnen de grootste verandering van de hele stelselwijziging is — dat wekt de juiste verwachting.</w:t>
      </w:r>
    </w:p>
    <w:sectPr>
      <w:headerReference w:type="default" r:id="rId7"/>
      <w:footerReference w:type="default" r:id="rId8"/>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color w:val="888888"/>
        <w:sz w:val="16"/>
        <w:szCs w:val="16"/>
      </w:rPr>
      <w:t xml:space="preserve">Pagina </w:t>
    </w:r>
    <w:r>
      <w:rPr>
        <w:rFonts w:ascii="Calibri" w:cs="Calibri" w:eastAsia="Calibri" w:hAnsi="Calibri"/>
        <w:color w:val="888888"/>
        <w:sz w:val="16"/>
        <w:szCs w:val="16"/>
      </w:rPr>
      <w:fldChar w:fldCharType="begin"/>
      <w:instrText xml:space="preserve">PAGE</w:instrText>
      <w:fldChar w:fldCharType="separate"/>
      <w:fldChar w:fldCharType="end"/>
    </w:r>
    <w:r>
      <w:rPr>
        <w:rFonts w:ascii="Calibri" w:cs="Calibri" w:eastAsia="Calibri" w:hAnsi="Calibri"/>
        <w:color w:val="888888"/>
        <w:sz w:val="16"/>
        <w:szCs w:val="16"/>
      </w:rPr>
      <w:t xml:space="preserve"> van </w:t>
    </w:r>
    <w:r>
      <w:rPr>
        <w:rFonts w:ascii="Calibri" w:cs="Calibri" w:eastAsia="Calibri" w:hAnsi="Calibri"/>
        <w:color w:val="888888"/>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563A8" w:sz="6" w:space="4"/>
      </w:pBdr>
      <w:jc w:val="right"/>
    </w:pPr>
    <w:r>
      <w:rPr>
        <w:rFonts w:ascii="Calibri" w:cs="Calibri" w:eastAsia="Calibri" w:hAnsi="Calibri"/>
        <w:color w:val="2563A8"/>
        <w:sz w:val="16"/>
        <w:szCs w:val="16"/>
      </w:rPr>
      <w:t xml:space="preserve">Nederlandse pensioenverzekering · Niveau 1 — Fundament · Deel 7</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2026-08-17T11:22:44.118Z</dcterms:created>
  <dcterms:modified xsi:type="dcterms:W3CDTF">2026-08-17T11:22:44.118Z</dcterms:modified>
</cp:coreProperties>
</file>

<file path=docProps/custom.xml><?xml version="1.0" encoding="utf-8"?>
<Properties xmlns="http://schemas.openxmlformats.org/officeDocument/2006/custom-properties" xmlns:vt="http://schemas.openxmlformats.org/officeDocument/2006/docPropsVTypes"/>
</file>